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540A2D" w14:paraId="3BE52AB1" w14:textId="77777777">
        <w:tblPrEx>
          <w:tblCellMar>
            <w:top w:w="0" w:type="dxa"/>
            <w:bottom w:w="0" w:type="dxa"/>
          </w:tblCellMar>
        </w:tblPrEx>
        <w:tc>
          <w:tcPr>
            <w:tcW w:w="9638" w:type="dxa"/>
            <w:tcBorders>
              <w:top w:val="none" w:sz="0" w:space="0" w:color="FFFFFF"/>
              <w:left w:val="single" w:sz="36" w:space="0" w:color="1E9CD7"/>
              <w:bottom w:val="none" w:sz="0" w:space="0" w:color="FFFFFF"/>
              <w:right w:val="none" w:sz="0" w:space="0" w:color="FFFFFF"/>
            </w:tcBorders>
            <w:shd w:val="clear" w:color="auto" w:fill="1A4B7A"/>
            <w:tcMar>
              <w:top w:w="600" w:type="dxa"/>
              <w:left w:w="500" w:type="dxa"/>
              <w:bottom w:w="500" w:type="dxa"/>
              <w:right w:w="400" w:type="dxa"/>
            </w:tcMar>
          </w:tcPr>
          <w:p w14:paraId="70B8678C" w14:textId="77777777" w:rsidR="00540A2D" w:rsidRDefault="00000000">
            <w:pPr>
              <w:spacing w:after="80"/>
            </w:pPr>
            <w:r>
              <w:rPr>
                <w:rFonts w:ascii="Georgia" w:eastAsia="Georgia" w:hAnsi="Georgia" w:cs="Georgia"/>
                <w:b/>
                <w:bCs/>
                <w:color w:val="FFFFFF"/>
                <w:sz w:val="60"/>
                <w:szCs w:val="60"/>
              </w:rPr>
              <w:t>COMFICOL</w:t>
            </w:r>
          </w:p>
          <w:p w14:paraId="6D696AC8" w14:textId="77777777" w:rsidR="00540A2D" w:rsidRDefault="00000000">
            <w:pPr>
              <w:spacing w:after="40"/>
            </w:pPr>
            <w:r>
              <w:rPr>
                <w:rFonts w:ascii="Arial" w:eastAsia="Arial" w:hAnsi="Arial" w:cs="Arial"/>
                <w:color w:val="5AB8E0"/>
                <w:sz w:val="16"/>
                <w:szCs w:val="16"/>
              </w:rPr>
              <w:t>CAPITAL ESTRUCTURADO</w:t>
            </w:r>
          </w:p>
          <w:p w14:paraId="00325D7E" w14:textId="77777777" w:rsidR="00540A2D" w:rsidRDefault="00000000">
            <w:pPr>
              <w:spacing w:after="320"/>
            </w:pPr>
            <w:r>
              <w:rPr>
                <w:rFonts w:ascii="Arial" w:eastAsia="Arial" w:hAnsi="Arial" w:cs="Arial"/>
                <w:color w:val="1E9CD7"/>
                <w:sz w:val="14"/>
                <w:szCs w:val="14"/>
              </w:rPr>
              <w:t>Proyecto NEXUS  ·  GESTIÓN &amp; ESTRUCTURACIÓN  ·  VIVIENDA VIS/VIP  ·  COLOMBIA  ·  2025</w:t>
            </w:r>
          </w:p>
          <w:p w14:paraId="27394E5E" w14:textId="77777777" w:rsidR="00540A2D" w:rsidRDefault="00000000">
            <w:pPr>
              <w:pBdr>
                <w:top w:val="single" w:sz="4" w:space="2" w:color="1E9CD7"/>
              </w:pBdr>
              <w:spacing w:before="240" w:after="80"/>
            </w:pPr>
            <w:r>
              <w:rPr>
                <w:rFonts w:ascii="Arial" w:eastAsia="Arial" w:hAnsi="Arial" w:cs="Arial"/>
                <w:b/>
                <w:bCs/>
                <w:color w:val="1E9CD7"/>
                <w:sz w:val="13"/>
                <w:szCs w:val="13"/>
              </w:rPr>
              <w:t>TEASER DE INVERSIÓN  ·  CONFIDENCIAL</w:t>
            </w:r>
            <w:r>
              <w:rPr>
                <w:rFonts w:ascii="Arial" w:eastAsia="Arial" w:hAnsi="Arial" w:cs="Arial"/>
                <w:color w:val="7AAAC8"/>
                <w:sz w:val="13"/>
                <w:szCs w:val="13"/>
              </w:rPr>
              <w:t xml:space="preserve">   Información dirigida exclusivamente al destinatario</w:t>
            </w:r>
          </w:p>
          <w:p w14:paraId="5C802A57" w14:textId="190F11B9" w:rsidR="00540A2D" w:rsidRDefault="00000000">
            <w:pPr>
              <w:spacing w:before="100"/>
            </w:pPr>
            <w:r>
              <w:rPr>
                <w:rFonts w:ascii="Arial" w:eastAsia="Arial" w:hAnsi="Arial" w:cs="Arial"/>
                <w:color w:val="7AAAC8"/>
                <w:sz w:val="13"/>
                <w:szCs w:val="13"/>
              </w:rPr>
              <w:t xml:space="preserve">MODELO  </w:t>
            </w:r>
            <w:proofErr w:type="spellStart"/>
            <w:r>
              <w:rPr>
                <w:rFonts w:ascii="Georgia" w:eastAsia="Georgia" w:hAnsi="Georgia" w:cs="Georgia"/>
                <w:b/>
                <w:bCs/>
                <w:color w:val="FFFFFF"/>
              </w:rPr>
              <w:t>Asset</w:t>
            </w:r>
            <w:proofErr w:type="spellEnd"/>
            <w:r>
              <w:rPr>
                <w:rFonts w:ascii="Georgia" w:eastAsia="Georgia" w:hAnsi="Georgia" w:cs="Georgia"/>
                <w:b/>
                <w:bCs/>
                <w:color w:val="FFFFFF"/>
              </w:rPr>
              <w:t xml:space="preserve"> Manager (Estructurador Puro)</w:t>
            </w:r>
            <w:r>
              <w:rPr>
                <w:rFonts w:ascii="Arial" w:eastAsia="Arial" w:hAnsi="Arial" w:cs="Arial"/>
                <w:color w:val="7AAAC8"/>
                <w:sz w:val="13"/>
                <w:szCs w:val="13"/>
              </w:rPr>
              <w:t xml:space="preserve">     CAPITAL BUSCADO  </w:t>
            </w:r>
            <w:r>
              <w:rPr>
                <w:rFonts w:ascii="Georgia" w:eastAsia="Georgia" w:hAnsi="Georgia" w:cs="Georgia"/>
                <w:b/>
                <w:bCs/>
                <w:color w:val="FFFFFF"/>
              </w:rPr>
              <w:t>USD $</w:t>
            </w:r>
            <w:r w:rsidR="0034035A">
              <w:rPr>
                <w:rFonts w:ascii="Georgia" w:eastAsia="Georgia" w:hAnsi="Georgia" w:cs="Georgia"/>
                <w:b/>
                <w:bCs/>
                <w:color w:val="FFFFFF"/>
              </w:rPr>
              <w:t>2</w:t>
            </w:r>
            <w:r w:rsidR="009325C8">
              <w:rPr>
                <w:rFonts w:ascii="Georgia" w:eastAsia="Georgia" w:hAnsi="Georgia" w:cs="Georgia"/>
                <w:b/>
                <w:bCs/>
                <w:color w:val="FFFFFF"/>
              </w:rPr>
              <w:t>0</w:t>
            </w:r>
            <w:r>
              <w:rPr>
                <w:rFonts w:ascii="Georgia" w:eastAsia="Georgia" w:hAnsi="Georgia" w:cs="Georgia"/>
                <w:b/>
                <w:bCs/>
                <w:color w:val="FFFFFF"/>
              </w:rPr>
              <w:t>M</w:t>
            </w:r>
            <w:r>
              <w:rPr>
                <w:rFonts w:ascii="Arial" w:eastAsia="Arial" w:hAnsi="Arial" w:cs="Arial"/>
                <w:color w:val="7AAAC8"/>
                <w:sz w:val="13"/>
                <w:szCs w:val="13"/>
              </w:rPr>
              <w:t xml:space="preserve">     TIR OBJETIVO FONDO  </w:t>
            </w:r>
            <w:r>
              <w:rPr>
                <w:rFonts w:ascii="Georgia" w:eastAsia="Georgia" w:hAnsi="Georgia" w:cs="Georgia"/>
                <w:b/>
                <w:bCs/>
                <w:color w:val="FFFFFF"/>
              </w:rPr>
              <w:t>~28% E.A.</w:t>
            </w:r>
          </w:p>
        </w:tc>
      </w:tr>
    </w:tbl>
    <w:p w14:paraId="61A38F08" w14:textId="77777777" w:rsidR="00540A2D" w:rsidRDefault="00540A2D">
      <w:pPr>
        <w:spacing w:after="120"/>
      </w:pPr>
    </w:p>
    <w:p w14:paraId="5AB311BA"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01  </w:t>
      </w:r>
      <w:r>
        <w:rPr>
          <w:rFonts w:ascii="Georgia" w:eastAsia="Georgia" w:hAnsi="Georgia" w:cs="Georgia"/>
          <w:b/>
          <w:bCs/>
          <w:color w:val="1A4B7A"/>
          <w:sz w:val="22"/>
          <w:szCs w:val="22"/>
        </w:rPr>
        <w:t>Resumen Ejecutivo</w:t>
      </w:r>
    </w:p>
    <w:p w14:paraId="22BBF506" w14:textId="77777777" w:rsidR="00540A2D" w:rsidRDefault="00540A2D">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540A2D" w14:paraId="4971A2FF" w14:textId="77777777">
        <w:tblPrEx>
          <w:tblCellMar>
            <w:top w:w="0" w:type="dxa"/>
            <w:bottom w:w="0" w:type="dxa"/>
          </w:tblCellMar>
        </w:tblPrEx>
        <w:tc>
          <w:tcPr>
            <w:tcW w:w="9638" w:type="dxa"/>
            <w:tcBorders>
              <w:top w:val="none" w:sz="0" w:space="0" w:color="FFFFFF"/>
              <w:left w:val="single" w:sz="20" w:space="0" w:color="1E9CD7"/>
              <w:bottom w:val="none" w:sz="0" w:space="0" w:color="FFFFFF"/>
              <w:right w:val="none" w:sz="0" w:space="0" w:color="FFFFFF"/>
            </w:tcBorders>
            <w:shd w:val="clear" w:color="auto" w:fill="DEE8F8"/>
            <w:tcMar>
              <w:top w:w="120" w:type="dxa"/>
              <w:left w:w="220" w:type="dxa"/>
              <w:bottom w:w="120" w:type="dxa"/>
              <w:right w:w="200" w:type="dxa"/>
            </w:tcMar>
          </w:tcPr>
          <w:p w14:paraId="1FB3A29A" w14:textId="77777777" w:rsidR="00540A2D" w:rsidRDefault="00000000">
            <w:r>
              <w:rPr>
                <w:rFonts w:ascii="Georgia" w:eastAsia="Georgia" w:hAnsi="Georgia" w:cs="Georgia"/>
                <w:b/>
                <w:bCs/>
                <w:color w:val="1A4B7A"/>
              </w:rPr>
              <w:t>COMFICOL origina, estructura y gestiona operaciones de financiación puente en vivienda VIS/VIP en Colombia. El fondo aporta el capital; COMFICOL aporta el conocimiento, la red y la estructura — con ingresos directamente alineados al desempeño del inversionista.</w:t>
            </w:r>
          </w:p>
        </w:tc>
      </w:tr>
    </w:tbl>
    <w:p w14:paraId="2786DB31" w14:textId="77777777" w:rsidR="00540A2D" w:rsidRDefault="00540A2D">
      <w:pPr>
        <w:spacing w:after="60"/>
      </w:pPr>
    </w:p>
    <w:p w14:paraId="7B93B65F" w14:textId="77777777" w:rsidR="00540A2D" w:rsidRDefault="00000000">
      <w:pPr>
        <w:spacing w:before="40" w:after="60"/>
      </w:pPr>
      <w:r>
        <w:rPr>
          <w:rFonts w:ascii="Arial" w:eastAsia="Arial" w:hAnsi="Arial" w:cs="Arial"/>
          <w:color w:val="2A3F52"/>
          <w:sz w:val="17"/>
          <w:szCs w:val="17"/>
        </w:rPr>
        <w:t xml:space="preserve">Ningún recurso de COMFICOL entra a los proyectos. Somos el gestor especializado que identifica oportunidades, estructura cada operación a través de vehículos fiduciarios formales administrados por </w:t>
      </w:r>
      <w:proofErr w:type="spellStart"/>
      <w:r>
        <w:rPr>
          <w:rFonts w:ascii="Arial" w:eastAsia="Arial" w:hAnsi="Arial" w:cs="Arial"/>
          <w:color w:val="2A3F52"/>
          <w:sz w:val="17"/>
          <w:szCs w:val="17"/>
        </w:rPr>
        <w:t>FiduAval</w:t>
      </w:r>
      <w:proofErr w:type="spellEnd"/>
      <w:r>
        <w:rPr>
          <w:rFonts w:ascii="Arial" w:eastAsia="Arial" w:hAnsi="Arial" w:cs="Arial"/>
          <w:color w:val="2A3F52"/>
          <w:sz w:val="17"/>
          <w:szCs w:val="17"/>
        </w:rPr>
        <w:t xml:space="preserve">, Acción Fiduciaria, </w:t>
      </w:r>
      <w:proofErr w:type="spellStart"/>
      <w:r>
        <w:rPr>
          <w:rFonts w:ascii="Arial" w:eastAsia="Arial" w:hAnsi="Arial" w:cs="Arial"/>
          <w:color w:val="2A3F52"/>
          <w:sz w:val="17"/>
          <w:szCs w:val="17"/>
        </w:rPr>
        <w:t>Fiducolombia</w:t>
      </w:r>
      <w:proofErr w:type="spellEnd"/>
      <w:r>
        <w:rPr>
          <w:rFonts w:ascii="Arial" w:eastAsia="Arial" w:hAnsi="Arial" w:cs="Arial"/>
          <w:color w:val="2A3F52"/>
          <w:sz w:val="17"/>
          <w:szCs w:val="17"/>
        </w:rPr>
        <w:t xml:space="preserve"> o Alianza Fiduciaria, selecciona constructores y administra el ciclo completo hasta el repago.</w:t>
      </w:r>
    </w:p>
    <w:p w14:paraId="6CC856F7"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9"/>
        <w:gridCol w:w="2409"/>
        <w:gridCol w:w="2409"/>
        <w:gridCol w:w="2411"/>
      </w:tblGrid>
      <w:tr w:rsidR="00540A2D" w14:paraId="43A0C8C1" w14:textId="77777777">
        <w:tblPrEx>
          <w:tblCellMar>
            <w:top w:w="0" w:type="dxa"/>
            <w:bottom w:w="0" w:type="dxa"/>
          </w:tblCellMar>
        </w:tblPrEx>
        <w:tc>
          <w:tcPr>
            <w:tcW w:w="2409" w:type="dxa"/>
            <w:tcBorders>
              <w:top w:val="none" w:sz="0" w:space="0" w:color="FFFFFF"/>
              <w:left w:val="none" w:sz="0" w:space="0" w:color="FFFFFF"/>
              <w:bottom w:val="single" w:sz="8" w:space="0" w:color="1E9CD7"/>
              <w:right w:val="none" w:sz="0" w:space="0" w:color="FFFFFF"/>
            </w:tcBorders>
            <w:shd w:val="clear" w:color="auto" w:fill="1A4B7A"/>
            <w:tcMar>
              <w:top w:w="100" w:type="dxa"/>
              <w:left w:w="160" w:type="dxa"/>
              <w:bottom w:w="100" w:type="dxa"/>
              <w:right w:w="140" w:type="dxa"/>
            </w:tcMar>
          </w:tcPr>
          <w:p w14:paraId="5CBD36B1" w14:textId="77777777" w:rsidR="00540A2D" w:rsidRDefault="00000000">
            <w:pPr>
              <w:spacing w:after="40"/>
            </w:pPr>
            <w:r>
              <w:rPr>
                <w:rFonts w:ascii="Arial" w:eastAsia="Arial" w:hAnsi="Arial" w:cs="Arial"/>
                <w:color w:val="7AAAC8"/>
                <w:sz w:val="12"/>
                <w:szCs w:val="12"/>
              </w:rPr>
              <w:t>MODELO</w:t>
            </w:r>
          </w:p>
          <w:p w14:paraId="61E812F8" w14:textId="77777777" w:rsidR="00540A2D" w:rsidRDefault="00000000">
            <w:pPr>
              <w:spacing w:after="30"/>
            </w:pPr>
            <w:proofErr w:type="spellStart"/>
            <w:r>
              <w:rPr>
                <w:rFonts w:ascii="Georgia" w:eastAsia="Georgia" w:hAnsi="Georgia" w:cs="Georgia"/>
                <w:b/>
                <w:bCs/>
                <w:color w:val="FFFFFF"/>
                <w:sz w:val="22"/>
                <w:szCs w:val="22"/>
              </w:rPr>
              <w:t>Asset</w:t>
            </w:r>
            <w:proofErr w:type="spellEnd"/>
            <w:r>
              <w:rPr>
                <w:rFonts w:ascii="Georgia" w:eastAsia="Georgia" w:hAnsi="Georgia" w:cs="Georgia"/>
                <w:b/>
                <w:bCs/>
                <w:color w:val="FFFFFF"/>
                <w:sz w:val="22"/>
                <w:szCs w:val="22"/>
              </w:rPr>
              <w:t xml:space="preserve"> Manager</w:t>
            </w:r>
          </w:p>
          <w:p w14:paraId="1F2C98CD" w14:textId="77777777" w:rsidR="00540A2D" w:rsidRDefault="00000000">
            <w:r>
              <w:rPr>
                <w:rFonts w:ascii="Arial" w:eastAsia="Arial" w:hAnsi="Arial" w:cs="Arial"/>
                <w:color w:val="5AB8E0"/>
                <w:sz w:val="13"/>
                <w:szCs w:val="13"/>
              </w:rPr>
              <w:t>Sin capital propio en riesgo</w:t>
            </w:r>
          </w:p>
        </w:tc>
        <w:tc>
          <w:tcPr>
            <w:tcW w:w="2409" w:type="dxa"/>
            <w:tcBorders>
              <w:top w:val="none" w:sz="0" w:space="0" w:color="FFFFFF"/>
              <w:left w:val="none" w:sz="0" w:space="0" w:color="FFFFFF"/>
              <w:bottom w:val="single" w:sz="8" w:space="0" w:color="1E9CD7"/>
              <w:right w:val="none" w:sz="0" w:space="0" w:color="FFFFFF"/>
            </w:tcBorders>
            <w:shd w:val="clear" w:color="auto" w:fill="1A4B7A"/>
            <w:tcMar>
              <w:top w:w="100" w:type="dxa"/>
              <w:left w:w="160" w:type="dxa"/>
              <w:bottom w:w="100" w:type="dxa"/>
              <w:right w:w="140" w:type="dxa"/>
            </w:tcMar>
          </w:tcPr>
          <w:p w14:paraId="0CEEA8BF" w14:textId="77777777" w:rsidR="00540A2D" w:rsidRDefault="00000000">
            <w:pPr>
              <w:spacing w:after="40"/>
            </w:pPr>
            <w:r>
              <w:rPr>
                <w:rFonts w:ascii="Arial" w:eastAsia="Arial" w:hAnsi="Arial" w:cs="Arial"/>
                <w:color w:val="7AAAC8"/>
                <w:sz w:val="12"/>
                <w:szCs w:val="12"/>
              </w:rPr>
              <w:t>CAPITAL BUSCADO</w:t>
            </w:r>
          </w:p>
          <w:p w14:paraId="3ACC6AAC" w14:textId="659EE46C" w:rsidR="00540A2D" w:rsidRDefault="00000000">
            <w:pPr>
              <w:spacing w:after="30"/>
            </w:pPr>
            <w:r>
              <w:rPr>
                <w:rFonts w:ascii="Georgia" w:eastAsia="Georgia" w:hAnsi="Georgia" w:cs="Georgia"/>
                <w:b/>
                <w:bCs/>
                <w:color w:val="FFFFFF"/>
                <w:sz w:val="22"/>
                <w:szCs w:val="22"/>
              </w:rPr>
              <w:t>USD $</w:t>
            </w:r>
            <w:r w:rsidR="009325C8">
              <w:rPr>
                <w:rFonts w:ascii="Georgia" w:eastAsia="Georgia" w:hAnsi="Georgia" w:cs="Georgia"/>
                <w:b/>
                <w:bCs/>
                <w:color w:val="FFFFFF"/>
                <w:sz w:val="22"/>
                <w:szCs w:val="22"/>
              </w:rPr>
              <w:t>20</w:t>
            </w:r>
            <w:r>
              <w:rPr>
                <w:rFonts w:ascii="Georgia" w:eastAsia="Georgia" w:hAnsi="Georgia" w:cs="Georgia"/>
                <w:b/>
                <w:bCs/>
                <w:color w:val="FFFFFF"/>
                <w:sz w:val="22"/>
                <w:szCs w:val="22"/>
              </w:rPr>
              <w:t>M</w:t>
            </w:r>
          </w:p>
          <w:p w14:paraId="4F2526AB" w14:textId="77777777" w:rsidR="00540A2D" w:rsidRDefault="00000000">
            <w:r>
              <w:rPr>
                <w:rFonts w:ascii="Arial" w:eastAsia="Arial" w:hAnsi="Arial" w:cs="Arial"/>
                <w:color w:val="5AB8E0"/>
                <w:sz w:val="13"/>
                <w:szCs w:val="13"/>
              </w:rPr>
              <w:t>Ticket por proyecto: USD $1M–$4M</w:t>
            </w:r>
          </w:p>
        </w:tc>
        <w:tc>
          <w:tcPr>
            <w:tcW w:w="2409" w:type="dxa"/>
            <w:tcBorders>
              <w:top w:val="none" w:sz="0" w:space="0" w:color="FFFFFF"/>
              <w:left w:val="none" w:sz="0" w:space="0" w:color="FFFFFF"/>
              <w:bottom w:val="single" w:sz="8" w:space="0" w:color="1E9CD7"/>
              <w:right w:val="none" w:sz="0" w:space="0" w:color="FFFFFF"/>
            </w:tcBorders>
            <w:shd w:val="clear" w:color="auto" w:fill="1A4B7A"/>
            <w:tcMar>
              <w:top w:w="100" w:type="dxa"/>
              <w:left w:w="160" w:type="dxa"/>
              <w:bottom w:w="100" w:type="dxa"/>
              <w:right w:w="140" w:type="dxa"/>
            </w:tcMar>
          </w:tcPr>
          <w:p w14:paraId="5F495452" w14:textId="77777777" w:rsidR="00540A2D" w:rsidRDefault="00000000">
            <w:pPr>
              <w:spacing w:after="40"/>
            </w:pPr>
            <w:r>
              <w:rPr>
                <w:rFonts w:ascii="Arial" w:eastAsia="Arial" w:hAnsi="Arial" w:cs="Arial"/>
                <w:color w:val="7AAAC8"/>
                <w:sz w:val="12"/>
                <w:szCs w:val="12"/>
              </w:rPr>
              <w:t>TIR OBJETIVO FONDO</w:t>
            </w:r>
          </w:p>
          <w:p w14:paraId="1B34C4B4" w14:textId="77777777" w:rsidR="00540A2D" w:rsidRDefault="00000000">
            <w:pPr>
              <w:spacing w:after="30"/>
            </w:pPr>
            <w:r>
              <w:rPr>
                <w:rFonts w:ascii="Georgia" w:eastAsia="Georgia" w:hAnsi="Georgia" w:cs="Georgia"/>
                <w:b/>
                <w:bCs/>
                <w:color w:val="FFFFFF"/>
                <w:sz w:val="22"/>
                <w:szCs w:val="22"/>
              </w:rPr>
              <w:t>~28% E.A.</w:t>
            </w:r>
          </w:p>
          <w:p w14:paraId="526AEAFB" w14:textId="77777777" w:rsidR="00540A2D" w:rsidRDefault="00000000">
            <w:r>
              <w:rPr>
                <w:rFonts w:ascii="Arial" w:eastAsia="Arial" w:hAnsi="Arial" w:cs="Arial"/>
                <w:color w:val="5AB8E0"/>
                <w:sz w:val="13"/>
                <w:szCs w:val="13"/>
              </w:rPr>
              <w:t>Retorno efectivo anual</w:t>
            </w:r>
          </w:p>
        </w:tc>
        <w:tc>
          <w:tcPr>
            <w:tcW w:w="2411" w:type="dxa"/>
            <w:tcBorders>
              <w:top w:val="none" w:sz="0" w:space="0" w:color="FFFFFF"/>
              <w:left w:val="none" w:sz="0" w:space="0" w:color="FFFFFF"/>
              <w:bottom w:val="single" w:sz="8" w:space="0" w:color="1E9CD7"/>
              <w:right w:val="none" w:sz="0" w:space="0" w:color="FFFFFF"/>
            </w:tcBorders>
            <w:shd w:val="clear" w:color="auto" w:fill="1A4B7A"/>
            <w:tcMar>
              <w:top w:w="100" w:type="dxa"/>
              <w:left w:w="160" w:type="dxa"/>
              <w:bottom w:w="100" w:type="dxa"/>
              <w:right w:w="140" w:type="dxa"/>
            </w:tcMar>
          </w:tcPr>
          <w:p w14:paraId="6AC584DC" w14:textId="77777777" w:rsidR="00540A2D" w:rsidRDefault="00000000">
            <w:pPr>
              <w:spacing w:after="40"/>
            </w:pPr>
            <w:r>
              <w:rPr>
                <w:rFonts w:ascii="Arial" w:eastAsia="Arial" w:hAnsi="Arial" w:cs="Arial"/>
                <w:color w:val="7AAAC8"/>
                <w:sz w:val="12"/>
                <w:szCs w:val="12"/>
              </w:rPr>
              <w:t>PROYECTOS ACTIVOS</w:t>
            </w:r>
          </w:p>
          <w:p w14:paraId="3686D86B" w14:textId="77777777" w:rsidR="00540A2D" w:rsidRDefault="00000000">
            <w:pPr>
              <w:spacing w:after="30"/>
            </w:pPr>
            <w:r>
              <w:rPr>
                <w:rFonts w:ascii="Georgia" w:eastAsia="Georgia" w:hAnsi="Georgia" w:cs="Georgia"/>
                <w:b/>
                <w:bCs/>
                <w:color w:val="FFFFFF"/>
                <w:sz w:val="22"/>
                <w:szCs w:val="22"/>
              </w:rPr>
              <w:t>3 en curso</w:t>
            </w:r>
          </w:p>
          <w:p w14:paraId="6E295B4F" w14:textId="77777777" w:rsidR="00540A2D" w:rsidRDefault="00000000">
            <w:r>
              <w:rPr>
                <w:rFonts w:ascii="Arial" w:eastAsia="Arial" w:hAnsi="Arial" w:cs="Arial"/>
                <w:color w:val="5AB8E0"/>
                <w:sz w:val="13"/>
                <w:szCs w:val="13"/>
              </w:rPr>
              <w:t>Bogotá · Armenia · Manizales</w:t>
            </w:r>
          </w:p>
        </w:tc>
      </w:tr>
    </w:tbl>
    <w:p w14:paraId="0A42730D" w14:textId="77777777" w:rsidR="00540A2D" w:rsidRDefault="00540A2D">
      <w:pPr>
        <w:spacing w:after="160"/>
      </w:pPr>
    </w:p>
    <w:p w14:paraId="32447285"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02  </w:t>
      </w:r>
      <w:r>
        <w:rPr>
          <w:rFonts w:ascii="Georgia" w:eastAsia="Georgia" w:hAnsi="Georgia" w:cs="Georgia"/>
          <w:b/>
          <w:bCs/>
          <w:color w:val="1A4B7A"/>
          <w:sz w:val="22"/>
          <w:szCs w:val="22"/>
        </w:rPr>
        <w:t>La Oportunidad: Una Brecha que la Banca No Atiende</w:t>
      </w:r>
    </w:p>
    <w:p w14:paraId="06EA2605" w14:textId="77777777" w:rsidR="00540A2D" w:rsidRDefault="00540A2D">
      <w:pPr>
        <w:spacing w:after="40"/>
      </w:pPr>
    </w:p>
    <w:p w14:paraId="5FC14F27" w14:textId="77777777" w:rsidR="00540A2D" w:rsidRDefault="00000000">
      <w:pPr>
        <w:spacing w:before="40" w:after="60"/>
      </w:pPr>
      <w:r>
        <w:rPr>
          <w:rFonts w:ascii="Arial" w:eastAsia="Arial" w:hAnsi="Arial" w:cs="Arial"/>
          <w:color w:val="2A3F52"/>
          <w:sz w:val="17"/>
          <w:szCs w:val="17"/>
        </w:rPr>
        <w:t>Los constructores de vivienda VIS/VIP en Colombia deben cumplir hitos críticos antes de acceder al crédito constructor bancario. Ese período —licencias, estructuración fiduciaria, punto de equilibrio comercial— no tiene financiador formal. Los proyectos quedan atrapados en una fase sin acceso a capital, aunque sean técnica y comercialmente viables.</w:t>
      </w:r>
    </w:p>
    <w:p w14:paraId="160673FF"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9"/>
        <w:gridCol w:w="2409"/>
        <w:gridCol w:w="2409"/>
        <w:gridCol w:w="2411"/>
      </w:tblGrid>
      <w:tr w:rsidR="00540A2D" w14:paraId="498495BC" w14:textId="77777777">
        <w:tblPrEx>
          <w:tblCellMar>
            <w:top w:w="0" w:type="dxa"/>
            <w:bottom w:w="0" w:type="dxa"/>
          </w:tblCellMar>
        </w:tblPrEx>
        <w:tc>
          <w:tcPr>
            <w:tcW w:w="2409" w:type="dxa"/>
            <w:tcBorders>
              <w:top w:val="none" w:sz="0" w:space="0" w:color="FFFFFF"/>
              <w:left w:val="none" w:sz="0" w:space="0" w:color="FFFFFF"/>
              <w:bottom w:val="none" w:sz="0" w:space="0" w:color="FFFFFF"/>
              <w:right w:val="single" w:sz="4" w:space="0" w:color="1E9CD7"/>
            </w:tcBorders>
            <w:shd w:val="clear" w:color="auto" w:fill="1A4B7A"/>
            <w:tcMar>
              <w:top w:w="100" w:type="dxa"/>
              <w:left w:w="120" w:type="dxa"/>
              <w:bottom w:w="100" w:type="dxa"/>
              <w:right w:w="100" w:type="dxa"/>
            </w:tcMar>
          </w:tcPr>
          <w:p w14:paraId="109CB589" w14:textId="77777777" w:rsidR="00540A2D" w:rsidRDefault="00000000">
            <w:pPr>
              <w:spacing w:after="40"/>
              <w:jc w:val="center"/>
            </w:pPr>
            <w:r>
              <w:rPr>
                <w:rFonts w:ascii="Arial" w:eastAsia="Arial" w:hAnsi="Arial" w:cs="Arial"/>
                <w:color w:val="7AAAC8"/>
                <w:sz w:val="11"/>
                <w:szCs w:val="11"/>
              </w:rPr>
              <w:t>INICIO</w:t>
            </w:r>
          </w:p>
          <w:p w14:paraId="66ED0F93" w14:textId="77777777" w:rsidR="00540A2D" w:rsidRDefault="00000000">
            <w:pPr>
              <w:jc w:val="center"/>
            </w:pPr>
            <w:r>
              <w:rPr>
                <w:rFonts w:ascii="Georgia" w:eastAsia="Georgia" w:hAnsi="Georgia" w:cs="Georgia"/>
                <w:b/>
                <w:bCs/>
                <w:color w:val="FFFFFF"/>
                <w:sz w:val="14"/>
                <w:szCs w:val="14"/>
              </w:rPr>
              <w:t>Adquisición del lote</w:t>
            </w:r>
          </w:p>
        </w:tc>
        <w:tc>
          <w:tcPr>
            <w:tcW w:w="2409" w:type="dxa"/>
            <w:tcBorders>
              <w:top w:val="none" w:sz="0" w:space="0" w:color="FFFFFF"/>
              <w:left w:val="none" w:sz="0" w:space="0" w:color="FFFFFF"/>
              <w:bottom w:val="none" w:sz="0" w:space="0" w:color="FFFFFF"/>
              <w:right w:val="single" w:sz="4" w:space="0" w:color="1E9CD7"/>
            </w:tcBorders>
            <w:shd w:val="clear" w:color="auto" w:fill="1E9CD7"/>
            <w:tcMar>
              <w:top w:w="100" w:type="dxa"/>
              <w:left w:w="120" w:type="dxa"/>
              <w:bottom w:w="100" w:type="dxa"/>
              <w:right w:w="100" w:type="dxa"/>
            </w:tcMar>
          </w:tcPr>
          <w:p w14:paraId="2F7B6D32" w14:textId="77777777" w:rsidR="00540A2D" w:rsidRDefault="00000000">
            <w:pPr>
              <w:spacing w:after="40"/>
              <w:jc w:val="center"/>
            </w:pPr>
            <w:r>
              <w:rPr>
                <w:rFonts w:ascii="Arial" w:eastAsia="Arial" w:hAnsi="Arial" w:cs="Arial"/>
                <w:color w:val="1A4B7A"/>
                <w:sz w:val="11"/>
                <w:szCs w:val="11"/>
              </w:rPr>
              <w:t>COMFICOL OPERA AQUÍ</w:t>
            </w:r>
          </w:p>
          <w:p w14:paraId="2D18D522" w14:textId="77777777" w:rsidR="00540A2D" w:rsidRDefault="00000000">
            <w:pPr>
              <w:jc w:val="center"/>
            </w:pPr>
            <w:r>
              <w:rPr>
                <w:rFonts w:ascii="Georgia" w:eastAsia="Georgia" w:hAnsi="Georgia" w:cs="Georgia"/>
                <w:b/>
                <w:bCs/>
                <w:color w:val="1A4B7A"/>
                <w:sz w:val="14"/>
                <w:szCs w:val="14"/>
              </w:rPr>
              <w:t>Capital puente: licencias · fiducia · punto de equilibrio</w:t>
            </w:r>
          </w:p>
        </w:tc>
        <w:tc>
          <w:tcPr>
            <w:tcW w:w="2409" w:type="dxa"/>
            <w:tcBorders>
              <w:top w:val="none" w:sz="0" w:space="0" w:color="FFFFFF"/>
              <w:left w:val="none" w:sz="0" w:space="0" w:color="FFFFFF"/>
              <w:bottom w:val="none" w:sz="0" w:space="0" w:color="FFFFFF"/>
              <w:right w:val="single" w:sz="4" w:space="0" w:color="1E9CD7"/>
            </w:tcBorders>
            <w:shd w:val="clear" w:color="auto" w:fill="1A4B7A"/>
            <w:tcMar>
              <w:top w:w="100" w:type="dxa"/>
              <w:left w:w="120" w:type="dxa"/>
              <w:bottom w:w="100" w:type="dxa"/>
              <w:right w:w="100" w:type="dxa"/>
            </w:tcMar>
          </w:tcPr>
          <w:p w14:paraId="2CB53525" w14:textId="77777777" w:rsidR="00540A2D" w:rsidRDefault="00000000">
            <w:pPr>
              <w:spacing w:after="40"/>
              <w:jc w:val="center"/>
            </w:pPr>
            <w:r>
              <w:rPr>
                <w:rFonts w:ascii="Arial" w:eastAsia="Arial" w:hAnsi="Arial" w:cs="Arial"/>
                <w:color w:val="7AAAC8"/>
                <w:sz w:val="11"/>
                <w:szCs w:val="11"/>
              </w:rPr>
              <w:t>EVENTO DE SALIDA</w:t>
            </w:r>
          </w:p>
          <w:p w14:paraId="3EC4A455" w14:textId="77777777" w:rsidR="00540A2D" w:rsidRDefault="00000000">
            <w:pPr>
              <w:jc w:val="center"/>
            </w:pPr>
            <w:r>
              <w:rPr>
                <w:rFonts w:ascii="Georgia" w:eastAsia="Georgia" w:hAnsi="Georgia" w:cs="Georgia"/>
                <w:b/>
                <w:bCs/>
                <w:color w:val="FFFFFF"/>
                <w:sz w:val="14"/>
                <w:szCs w:val="14"/>
              </w:rPr>
              <w:t>Cierre financiero bancario</w:t>
            </w:r>
          </w:p>
        </w:tc>
        <w:tc>
          <w:tcPr>
            <w:tcW w:w="2411" w:type="dxa"/>
            <w:tcBorders>
              <w:top w:val="none" w:sz="0" w:space="0" w:color="FFFFFF"/>
              <w:left w:val="none" w:sz="0" w:space="0" w:color="FFFFFF"/>
              <w:bottom w:val="none" w:sz="0" w:space="0" w:color="FFFFFF"/>
              <w:right w:val="none" w:sz="0" w:space="0" w:color="FFFFFF"/>
            </w:tcBorders>
            <w:shd w:val="clear" w:color="auto" w:fill="1A4B7A"/>
            <w:tcMar>
              <w:top w:w="100" w:type="dxa"/>
              <w:left w:w="120" w:type="dxa"/>
              <w:bottom w:w="100" w:type="dxa"/>
              <w:right w:w="100" w:type="dxa"/>
            </w:tcMar>
          </w:tcPr>
          <w:p w14:paraId="18E12D31" w14:textId="77777777" w:rsidR="00540A2D" w:rsidRDefault="00000000">
            <w:pPr>
              <w:spacing w:after="40"/>
              <w:jc w:val="center"/>
            </w:pPr>
            <w:r>
              <w:rPr>
                <w:rFonts w:ascii="Arial" w:eastAsia="Arial" w:hAnsi="Arial" w:cs="Arial"/>
                <w:color w:val="7AAAC8"/>
                <w:sz w:val="11"/>
                <w:szCs w:val="11"/>
              </w:rPr>
              <w:t>EJECUCIÓN</w:t>
            </w:r>
          </w:p>
          <w:p w14:paraId="118F8240" w14:textId="77777777" w:rsidR="00540A2D" w:rsidRDefault="00000000">
            <w:pPr>
              <w:jc w:val="center"/>
            </w:pPr>
            <w:r>
              <w:rPr>
                <w:rFonts w:ascii="Georgia" w:eastAsia="Georgia" w:hAnsi="Georgia" w:cs="Georgia"/>
                <w:b/>
                <w:bCs/>
                <w:color w:val="FFFFFF"/>
                <w:sz w:val="14"/>
                <w:szCs w:val="14"/>
              </w:rPr>
              <w:t>Construcción y ventas</w:t>
            </w:r>
          </w:p>
        </w:tc>
      </w:tr>
    </w:tbl>
    <w:p w14:paraId="7E7127E2" w14:textId="77777777" w:rsidR="00540A2D" w:rsidRDefault="00540A2D">
      <w:pPr>
        <w:spacing w:after="60"/>
      </w:pPr>
    </w:p>
    <w:p w14:paraId="5613FA18" w14:textId="77777777" w:rsidR="00540A2D" w:rsidRDefault="00000000">
      <w:pPr>
        <w:spacing w:before="40" w:after="60"/>
      </w:pPr>
      <w:r>
        <w:rPr>
          <w:rFonts w:ascii="Arial" w:eastAsia="Arial" w:hAnsi="Arial" w:cs="Arial"/>
          <w:color w:val="2A3F52"/>
          <w:sz w:val="17"/>
          <w:szCs w:val="17"/>
        </w:rPr>
        <w:t>Una vez el banco desembolsa el crédito constructor, el capital puente se repaga con el rendimiento acordado. La salida está atada a un evento objetivo y verificable, no a condiciones especulativas de mercado.</w:t>
      </w:r>
    </w:p>
    <w:p w14:paraId="576E4143" w14:textId="77777777" w:rsidR="00540A2D" w:rsidRDefault="00540A2D">
      <w:pPr>
        <w:spacing w:after="80"/>
      </w:pPr>
    </w:p>
    <w:p w14:paraId="3BCA7950" w14:textId="77777777" w:rsidR="00540A2D" w:rsidRDefault="00000000">
      <w:pPr>
        <w:spacing w:before="40" w:after="60"/>
      </w:pPr>
      <w:r>
        <w:rPr>
          <w:rFonts w:ascii="Arial" w:eastAsia="Arial" w:hAnsi="Arial" w:cs="Arial"/>
          <w:b/>
          <w:bCs/>
          <w:color w:val="2A3F52"/>
          <w:sz w:val="17"/>
          <w:szCs w:val="17"/>
        </w:rPr>
        <w:t>Contexto de mercado — cifras verificadas (DANE · CAMACOL · Bancolombia):</w:t>
      </w:r>
    </w:p>
    <w:p w14:paraId="619CC0F6"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13"/>
        <w:gridCol w:w="5569"/>
        <w:gridCol w:w="2356"/>
      </w:tblGrid>
      <w:tr w:rsidR="00540A2D" w14:paraId="3805E391" w14:textId="77777777">
        <w:tblPrEx>
          <w:tblCellMar>
            <w:top w:w="0" w:type="dxa"/>
            <w:bottom w:w="0" w:type="dxa"/>
          </w:tblCellMar>
        </w:tblPrEx>
        <w:tc>
          <w:tcPr>
            <w:tcW w:w="1600" w:type="dxa"/>
            <w:tcBorders>
              <w:top w:val="none" w:sz="0" w:space="0" w:color="FFFFFF"/>
              <w:left w:val="none" w:sz="0" w:space="0" w:color="FFFFFF"/>
              <w:bottom w:val="single" w:sz="6" w:space="0" w:color="B8D4E8"/>
              <w:right w:val="none" w:sz="0" w:space="0" w:color="FFFFFF"/>
            </w:tcBorders>
            <w:shd w:val="clear" w:color="auto" w:fill="FFFFFF"/>
            <w:tcMar>
              <w:top w:w="60" w:type="dxa"/>
              <w:left w:w="120" w:type="dxa"/>
              <w:bottom w:w="60" w:type="dxa"/>
              <w:right w:w="80" w:type="dxa"/>
            </w:tcMar>
          </w:tcPr>
          <w:p w14:paraId="55A38178" w14:textId="77777777" w:rsidR="00540A2D" w:rsidRDefault="00000000">
            <w:r>
              <w:rPr>
                <w:rFonts w:ascii="Arial" w:eastAsia="Arial" w:hAnsi="Arial" w:cs="Arial"/>
                <w:b/>
                <w:bCs/>
                <w:color w:val="5A7A9A"/>
                <w:sz w:val="13"/>
                <w:szCs w:val="13"/>
              </w:rPr>
              <w:t>Factor</w:t>
            </w:r>
          </w:p>
        </w:tc>
        <w:tc>
          <w:tcPr>
            <w:tcW w:w="5200" w:type="dxa"/>
            <w:tcBorders>
              <w:top w:val="none" w:sz="0" w:space="0" w:color="FFFFFF"/>
              <w:left w:val="none" w:sz="0" w:space="0" w:color="FFFFFF"/>
              <w:bottom w:val="single" w:sz="6" w:space="0" w:color="B8D4E8"/>
              <w:right w:val="none" w:sz="0" w:space="0" w:color="FFFFFF"/>
            </w:tcBorders>
            <w:shd w:val="clear" w:color="auto" w:fill="FFFFFF"/>
            <w:tcMar>
              <w:top w:w="60" w:type="dxa"/>
              <w:left w:w="120" w:type="dxa"/>
              <w:bottom w:w="60" w:type="dxa"/>
              <w:right w:w="80" w:type="dxa"/>
            </w:tcMar>
          </w:tcPr>
          <w:p w14:paraId="7CAACC34" w14:textId="77777777" w:rsidR="00540A2D" w:rsidRDefault="00000000">
            <w:r>
              <w:rPr>
                <w:rFonts w:ascii="Arial" w:eastAsia="Arial" w:hAnsi="Arial" w:cs="Arial"/>
                <w:b/>
                <w:bCs/>
                <w:color w:val="5A7A9A"/>
                <w:sz w:val="13"/>
                <w:szCs w:val="13"/>
              </w:rPr>
              <w:t>Descripción</w:t>
            </w:r>
          </w:p>
        </w:tc>
        <w:tc>
          <w:tcPr>
            <w:tcW w:w="2200" w:type="dxa"/>
            <w:tcBorders>
              <w:top w:val="none" w:sz="0" w:space="0" w:color="FFFFFF"/>
              <w:left w:val="none" w:sz="0" w:space="0" w:color="FFFFFF"/>
              <w:bottom w:val="single" w:sz="6" w:space="0" w:color="B8D4E8"/>
              <w:right w:val="none" w:sz="0" w:space="0" w:color="FFFFFF"/>
            </w:tcBorders>
            <w:shd w:val="clear" w:color="auto" w:fill="FFFFFF"/>
            <w:tcMar>
              <w:top w:w="60" w:type="dxa"/>
              <w:left w:w="120" w:type="dxa"/>
              <w:bottom w:w="60" w:type="dxa"/>
              <w:right w:w="80" w:type="dxa"/>
            </w:tcMar>
          </w:tcPr>
          <w:p w14:paraId="3F68F182" w14:textId="77777777" w:rsidR="00540A2D" w:rsidRDefault="00000000">
            <w:r>
              <w:rPr>
                <w:rFonts w:ascii="Arial" w:eastAsia="Arial" w:hAnsi="Arial" w:cs="Arial"/>
                <w:b/>
                <w:bCs/>
                <w:color w:val="5A7A9A"/>
                <w:sz w:val="13"/>
                <w:szCs w:val="13"/>
              </w:rPr>
              <w:t>Dato clave</w:t>
            </w:r>
          </w:p>
        </w:tc>
      </w:tr>
      <w:tr w:rsidR="00540A2D" w14:paraId="224788F5" w14:textId="77777777">
        <w:tblPrEx>
          <w:tblCellMar>
            <w:top w:w="0" w:type="dxa"/>
            <w:bottom w:w="0" w:type="dxa"/>
          </w:tblCellMar>
        </w:tblPrEx>
        <w:tc>
          <w:tcPr>
            <w:tcW w:w="16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54F7F543" w14:textId="77777777" w:rsidR="00540A2D" w:rsidRDefault="00000000">
            <w:r>
              <w:rPr>
                <w:rFonts w:ascii="Arial" w:eastAsia="Arial" w:hAnsi="Arial" w:cs="Arial"/>
                <w:b/>
                <w:bCs/>
                <w:color w:val="1A4B7A"/>
                <w:sz w:val="15"/>
                <w:szCs w:val="15"/>
              </w:rPr>
              <w:t>Déficit habitacional 2025</w:t>
            </w:r>
          </w:p>
        </w:tc>
        <w:tc>
          <w:tcPr>
            <w:tcW w:w="52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4788DF09" w14:textId="77777777" w:rsidR="00540A2D" w:rsidRDefault="00000000">
            <w:r>
              <w:rPr>
                <w:rFonts w:ascii="Arial" w:eastAsia="Arial" w:hAnsi="Arial" w:cs="Arial"/>
                <w:color w:val="2A3F52"/>
                <w:sz w:val="15"/>
                <w:szCs w:val="15"/>
              </w:rPr>
              <w:t>25,6% de los hogares colombianos — ECV DANE 2025</w:t>
            </w:r>
          </w:p>
        </w:tc>
        <w:tc>
          <w:tcPr>
            <w:tcW w:w="22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68E131FC" w14:textId="77777777" w:rsidR="00540A2D" w:rsidRDefault="00000000">
            <w:r>
              <w:rPr>
                <w:rFonts w:ascii="Georgia" w:eastAsia="Georgia" w:hAnsi="Georgia" w:cs="Georgia"/>
                <w:color w:val="1E9CD7"/>
                <w:sz w:val="14"/>
                <w:szCs w:val="14"/>
              </w:rPr>
              <w:t>10,8M hogares</w:t>
            </w:r>
          </w:p>
        </w:tc>
      </w:tr>
      <w:tr w:rsidR="00540A2D" w14:paraId="2EA73D13" w14:textId="77777777">
        <w:tblPrEx>
          <w:tblCellMar>
            <w:top w:w="0" w:type="dxa"/>
            <w:bottom w:w="0" w:type="dxa"/>
          </w:tblCellMar>
        </w:tblPrEx>
        <w:tc>
          <w:tcPr>
            <w:tcW w:w="16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2D5DF4E0" w14:textId="77777777" w:rsidR="00540A2D" w:rsidRDefault="00000000">
            <w:r>
              <w:rPr>
                <w:rFonts w:ascii="Arial" w:eastAsia="Arial" w:hAnsi="Arial" w:cs="Arial"/>
                <w:b/>
                <w:bCs/>
                <w:color w:val="1A4B7A"/>
                <w:sz w:val="15"/>
                <w:szCs w:val="15"/>
              </w:rPr>
              <w:t>Déficit cuantitativo 2024</w:t>
            </w:r>
          </w:p>
        </w:tc>
        <w:tc>
          <w:tcPr>
            <w:tcW w:w="52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0887EF00" w14:textId="77777777" w:rsidR="00540A2D" w:rsidRDefault="00000000">
            <w:r>
              <w:rPr>
                <w:rFonts w:ascii="Arial" w:eastAsia="Arial" w:hAnsi="Arial" w:cs="Arial"/>
                <w:color w:val="2A3F52"/>
                <w:sz w:val="15"/>
                <w:szCs w:val="15"/>
              </w:rPr>
              <w:t>Aumentó de 6,77% a 6,81% — hogares que necesitan vivienda nueva</w:t>
            </w:r>
          </w:p>
        </w:tc>
        <w:tc>
          <w:tcPr>
            <w:tcW w:w="22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61E87A43" w14:textId="77777777" w:rsidR="00540A2D" w:rsidRDefault="00000000">
            <w:r>
              <w:rPr>
                <w:rFonts w:ascii="Georgia" w:eastAsia="Georgia" w:hAnsi="Georgia" w:cs="Georgia"/>
                <w:color w:val="1E9CD7"/>
                <w:sz w:val="14"/>
                <w:szCs w:val="14"/>
              </w:rPr>
              <w:t>+41.000 hogares</w:t>
            </w:r>
          </w:p>
        </w:tc>
      </w:tr>
      <w:tr w:rsidR="00540A2D" w14:paraId="0C317234" w14:textId="77777777">
        <w:tblPrEx>
          <w:tblCellMar>
            <w:top w:w="0" w:type="dxa"/>
            <w:bottom w:w="0" w:type="dxa"/>
          </w:tblCellMar>
        </w:tblPrEx>
        <w:tc>
          <w:tcPr>
            <w:tcW w:w="16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60DEC87C" w14:textId="77777777" w:rsidR="00540A2D" w:rsidRDefault="00000000">
            <w:r>
              <w:rPr>
                <w:rFonts w:ascii="Arial" w:eastAsia="Arial" w:hAnsi="Arial" w:cs="Arial"/>
                <w:b/>
                <w:bCs/>
                <w:color w:val="1A4B7A"/>
                <w:sz w:val="15"/>
                <w:szCs w:val="15"/>
              </w:rPr>
              <w:t>Iniciaciones VIS+VIP</w:t>
            </w:r>
          </w:p>
        </w:tc>
        <w:tc>
          <w:tcPr>
            <w:tcW w:w="52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5DBE1AEE" w14:textId="77777777" w:rsidR="00540A2D" w:rsidRDefault="00000000">
            <w:r>
              <w:rPr>
                <w:rFonts w:ascii="Arial" w:eastAsia="Arial" w:hAnsi="Arial" w:cs="Arial"/>
                <w:color w:val="2A3F52"/>
                <w:sz w:val="15"/>
                <w:szCs w:val="15"/>
              </w:rPr>
              <w:t>Mínimo en 15 años — CAMACOL Coordenada Urbana</w:t>
            </w:r>
          </w:p>
        </w:tc>
        <w:tc>
          <w:tcPr>
            <w:tcW w:w="22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611C0D27" w14:textId="77777777" w:rsidR="00540A2D" w:rsidRDefault="00000000">
            <w:r>
              <w:rPr>
                <w:rFonts w:ascii="Georgia" w:eastAsia="Georgia" w:hAnsi="Georgia" w:cs="Georgia"/>
                <w:color w:val="1E9CD7"/>
                <w:sz w:val="14"/>
                <w:szCs w:val="14"/>
              </w:rPr>
              <w:t>110.502 unidades</w:t>
            </w:r>
          </w:p>
        </w:tc>
      </w:tr>
      <w:tr w:rsidR="00540A2D" w14:paraId="044B3CC2" w14:textId="77777777">
        <w:tblPrEx>
          <w:tblCellMar>
            <w:top w:w="0" w:type="dxa"/>
            <w:bottom w:w="0" w:type="dxa"/>
          </w:tblCellMar>
        </w:tblPrEx>
        <w:tc>
          <w:tcPr>
            <w:tcW w:w="16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5FF6F0FB" w14:textId="77777777" w:rsidR="00540A2D" w:rsidRDefault="00000000">
            <w:r>
              <w:rPr>
                <w:rFonts w:ascii="Arial" w:eastAsia="Arial" w:hAnsi="Arial" w:cs="Arial"/>
                <w:b/>
                <w:bCs/>
                <w:color w:val="1A4B7A"/>
                <w:sz w:val="15"/>
                <w:szCs w:val="15"/>
              </w:rPr>
              <w:t>Brecha estructural</w:t>
            </w:r>
          </w:p>
        </w:tc>
        <w:tc>
          <w:tcPr>
            <w:tcW w:w="52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1F87C0F3" w14:textId="77777777" w:rsidR="00540A2D" w:rsidRDefault="00000000">
            <w:r>
              <w:rPr>
                <w:rFonts w:ascii="Arial" w:eastAsia="Arial" w:hAnsi="Arial" w:cs="Arial"/>
                <w:color w:val="2A3F52"/>
                <w:sz w:val="15"/>
                <w:szCs w:val="15"/>
              </w:rPr>
              <w:t>Lanzamientos +13,8% vs iniciaciones -28,6% (ene–</w:t>
            </w:r>
            <w:proofErr w:type="spellStart"/>
            <w:r>
              <w:rPr>
                <w:rFonts w:ascii="Arial" w:eastAsia="Arial" w:hAnsi="Arial" w:cs="Arial"/>
                <w:color w:val="2A3F52"/>
                <w:sz w:val="15"/>
                <w:szCs w:val="15"/>
              </w:rPr>
              <w:t>sep</w:t>
            </w:r>
            <w:proofErr w:type="spellEnd"/>
            <w:r>
              <w:rPr>
                <w:rFonts w:ascii="Arial" w:eastAsia="Arial" w:hAnsi="Arial" w:cs="Arial"/>
                <w:color w:val="2A3F52"/>
                <w:sz w:val="15"/>
                <w:szCs w:val="15"/>
              </w:rPr>
              <w:t xml:space="preserve"> 2025)</w:t>
            </w:r>
          </w:p>
        </w:tc>
        <w:tc>
          <w:tcPr>
            <w:tcW w:w="22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3601F61B" w14:textId="77777777" w:rsidR="00540A2D" w:rsidRDefault="00000000">
            <w:r>
              <w:rPr>
                <w:rFonts w:ascii="Georgia" w:eastAsia="Georgia" w:hAnsi="Georgia" w:cs="Georgia"/>
                <w:color w:val="1E9CD7"/>
                <w:sz w:val="14"/>
                <w:szCs w:val="14"/>
              </w:rPr>
              <w:t>Mercado de COMFICOL</w:t>
            </w:r>
          </w:p>
        </w:tc>
      </w:tr>
      <w:tr w:rsidR="00540A2D" w14:paraId="5FF0ED46" w14:textId="77777777">
        <w:tblPrEx>
          <w:tblCellMar>
            <w:top w:w="0" w:type="dxa"/>
            <w:bottom w:w="0" w:type="dxa"/>
          </w:tblCellMar>
        </w:tblPrEx>
        <w:tc>
          <w:tcPr>
            <w:tcW w:w="16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556694E0" w14:textId="77777777" w:rsidR="00540A2D" w:rsidRDefault="00000000">
            <w:r>
              <w:rPr>
                <w:rFonts w:ascii="Arial" w:eastAsia="Arial" w:hAnsi="Arial" w:cs="Arial"/>
                <w:b/>
                <w:bCs/>
                <w:color w:val="1A4B7A"/>
                <w:sz w:val="15"/>
                <w:szCs w:val="15"/>
              </w:rPr>
              <w:t>Proyectos activos</w:t>
            </w:r>
          </w:p>
        </w:tc>
        <w:tc>
          <w:tcPr>
            <w:tcW w:w="52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5B6A2A44" w14:textId="77777777" w:rsidR="00540A2D" w:rsidRDefault="00000000">
            <w:r>
              <w:rPr>
                <w:rFonts w:ascii="Arial" w:eastAsia="Arial" w:hAnsi="Arial" w:cs="Arial"/>
                <w:color w:val="2A3F52"/>
                <w:sz w:val="15"/>
                <w:szCs w:val="15"/>
              </w:rPr>
              <w:t>Más de 3.000 proyectos con 1.374 empresas — CAMACOL mayo 2024</w:t>
            </w:r>
          </w:p>
        </w:tc>
        <w:tc>
          <w:tcPr>
            <w:tcW w:w="22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12E46B31" w14:textId="77777777" w:rsidR="00540A2D" w:rsidRDefault="00000000">
            <w:r>
              <w:rPr>
                <w:rFonts w:ascii="Georgia" w:eastAsia="Georgia" w:hAnsi="Georgia" w:cs="Georgia"/>
                <w:color w:val="1E9CD7"/>
                <w:sz w:val="14"/>
                <w:szCs w:val="14"/>
              </w:rPr>
              <w:t>+3.000 proyectos</w:t>
            </w:r>
          </w:p>
        </w:tc>
      </w:tr>
      <w:tr w:rsidR="00540A2D" w14:paraId="7FC7CA6B" w14:textId="77777777">
        <w:tblPrEx>
          <w:tblCellMar>
            <w:top w:w="0" w:type="dxa"/>
            <w:bottom w:w="0" w:type="dxa"/>
          </w:tblCellMar>
        </w:tblPrEx>
        <w:tc>
          <w:tcPr>
            <w:tcW w:w="16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38CB724B" w14:textId="77777777" w:rsidR="00540A2D" w:rsidRDefault="00000000">
            <w:r>
              <w:rPr>
                <w:rFonts w:ascii="Arial" w:eastAsia="Arial" w:hAnsi="Arial" w:cs="Arial"/>
                <w:b/>
                <w:bCs/>
                <w:color w:val="1A4B7A"/>
                <w:sz w:val="15"/>
                <w:szCs w:val="15"/>
              </w:rPr>
              <w:t>Oferta VIS en venta</w:t>
            </w:r>
          </w:p>
        </w:tc>
        <w:tc>
          <w:tcPr>
            <w:tcW w:w="52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6FEC753E" w14:textId="77777777" w:rsidR="00540A2D" w:rsidRDefault="00000000">
            <w:r>
              <w:rPr>
                <w:rFonts w:ascii="Arial" w:eastAsia="Arial" w:hAnsi="Arial" w:cs="Arial"/>
                <w:color w:val="2A3F52"/>
                <w:sz w:val="15"/>
                <w:szCs w:val="15"/>
              </w:rPr>
              <w:t>99.430 unidades VIS disponibles (62,3% del total) — feb 2025</w:t>
            </w:r>
          </w:p>
        </w:tc>
        <w:tc>
          <w:tcPr>
            <w:tcW w:w="22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5D5ACF19" w14:textId="77777777" w:rsidR="00540A2D" w:rsidRDefault="00000000">
            <w:r>
              <w:rPr>
                <w:rFonts w:ascii="Georgia" w:eastAsia="Georgia" w:hAnsi="Georgia" w:cs="Georgia"/>
                <w:color w:val="1E9CD7"/>
                <w:sz w:val="14"/>
                <w:szCs w:val="14"/>
              </w:rPr>
              <w:t>$27 billones COP</w:t>
            </w:r>
          </w:p>
        </w:tc>
      </w:tr>
    </w:tbl>
    <w:p w14:paraId="2EAD70FE" w14:textId="77777777" w:rsidR="00540A2D" w:rsidRDefault="00540A2D">
      <w:pPr>
        <w:spacing w:after="160"/>
      </w:pPr>
    </w:p>
    <w:p w14:paraId="4ED49F82"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03  </w:t>
      </w:r>
      <w:r>
        <w:rPr>
          <w:rFonts w:ascii="Georgia" w:eastAsia="Georgia" w:hAnsi="Georgia" w:cs="Georgia"/>
          <w:b/>
          <w:bCs/>
          <w:color w:val="1A4B7A"/>
          <w:sz w:val="22"/>
          <w:szCs w:val="22"/>
        </w:rPr>
        <w:t>El Modelo: Fondo Invierte — COMFICOL Gestiona</w:t>
      </w:r>
    </w:p>
    <w:p w14:paraId="4DF812E5" w14:textId="77777777" w:rsidR="00540A2D" w:rsidRDefault="00540A2D">
      <w:pPr>
        <w:spacing w:after="40"/>
      </w:pPr>
    </w:p>
    <w:p w14:paraId="40F9BEC5" w14:textId="77777777" w:rsidR="00540A2D" w:rsidRDefault="00000000">
      <w:pPr>
        <w:spacing w:before="40" w:after="60"/>
      </w:pPr>
      <w:r>
        <w:rPr>
          <w:rFonts w:ascii="Arial" w:eastAsia="Arial" w:hAnsi="Arial" w:cs="Arial"/>
          <w:color w:val="2A3F52"/>
          <w:sz w:val="17"/>
          <w:szCs w:val="17"/>
        </w:rPr>
        <w:t>La estructura separa con claridad quién pone el capital y quién pone el conocimiento. Ambos ganan cuando el proyecto funciona.</w:t>
      </w:r>
    </w:p>
    <w:p w14:paraId="481874C4"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12"/>
        <w:gridCol w:w="3212"/>
        <w:gridCol w:w="3214"/>
      </w:tblGrid>
      <w:tr w:rsidR="00540A2D" w14:paraId="19F8FAC1" w14:textId="77777777">
        <w:tblPrEx>
          <w:tblCellMar>
            <w:top w:w="0" w:type="dxa"/>
            <w:bottom w:w="0" w:type="dxa"/>
          </w:tblCellMar>
        </w:tblPrEx>
        <w:tc>
          <w:tcPr>
            <w:tcW w:w="3212" w:type="dxa"/>
            <w:tcBorders>
              <w:top w:val="none" w:sz="0" w:space="0" w:color="FFFFFF"/>
              <w:left w:val="none" w:sz="0" w:space="0" w:color="FFFFFF"/>
              <w:bottom w:val="single" w:sz="8" w:space="0" w:color="1E9CD7"/>
              <w:right w:val="none" w:sz="0" w:space="0" w:color="FFFFFF"/>
            </w:tcBorders>
            <w:shd w:val="clear" w:color="auto" w:fill="1A4B7A"/>
            <w:tcMar>
              <w:top w:w="100" w:type="dxa"/>
              <w:left w:w="160" w:type="dxa"/>
              <w:bottom w:w="100" w:type="dxa"/>
              <w:right w:w="140" w:type="dxa"/>
            </w:tcMar>
          </w:tcPr>
          <w:p w14:paraId="6D445DF0" w14:textId="77777777" w:rsidR="00540A2D" w:rsidRDefault="00000000">
            <w:pPr>
              <w:spacing w:after="40"/>
            </w:pPr>
            <w:r>
              <w:rPr>
                <w:rFonts w:ascii="Arial" w:eastAsia="Arial" w:hAnsi="Arial" w:cs="Arial"/>
                <w:color w:val="7AAAC8"/>
                <w:sz w:val="12"/>
                <w:szCs w:val="12"/>
              </w:rPr>
              <w:t>ROL DEL FONDO</w:t>
            </w:r>
          </w:p>
          <w:p w14:paraId="72D4BF1D" w14:textId="77777777" w:rsidR="00540A2D" w:rsidRDefault="00000000">
            <w:pPr>
              <w:spacing w:after="30"/>
            </w:pPr>
            <w:r>
              <w:rPr>
                <w:rFonts w:ascii="Georgia" w:eastAsia="Georgia" w:hAnsi="Georgia" w:cs="Georgia"/>
                <w:b/>
                <w:bCs/>
                <w:color w:val="FFFFFF"/>
                <w:sz w:val="22"/>
                <w:szCs w:val="22"/>
              </w:rPr>
              <w:t>Capital 100%</w:t>
            </w:r>
          </w:p>
          <w:p w14:paraId="66B4B059" w14:textId="77777777" w:rsidR="00540A2D" w:rsidRDefault="00000000">
            <w:r>
              <w:rPr>
                <w:rFonts w:ascii="Arial" w:eastAsia="Arial" w:hAnsi="Arial" w:cs="Arial"/>
                <w:color w:val="5AB8E0"/>
                <w:sz w:val="13"/>
                <w:szCs w:val="13"/>
              </w:rPr>
              <w:t>Entra vía fiducia al proyecto</w:t>
            </w:r>
          </w:p>
        </w:tc>
        <w:tc>
          <w:tcPr>
            <w:tcW w:w="3212" w:type="dxa"/>
            <w:tcBorders>
              <w:top w:val="none" w:sz="0" w:space="0" w:color="FFFFFF"/>
              <w:left w:val="none" w:sz="0" w:space="0" w:color="FFFFFF"/>
              <w:bottom w:val="single" w:sz="8" w:space="0" w:color="1E9CD7"/>
              <w:right w:val="none" w:sz="0" w:space="0" w:color="FFFFFF"/>
            </w:tcBorders>
            <w:shd w:val="clear" w:color="auto" w:fill="1A4B7A"/>
            <w:tcMar>
              <w:top w:w="100" w:type="dxa"/>
              <w:left w:w="160" w:type="dxa"/>
              <w:bottom w:w="100" w:type="dxa"/>
              <w:right w:w="140" w:type="dxa"/>
            </w:tcMar>
          </w:tcPr>
          <w:p w14:paraId="3CDE2711" w14:textId="77777777" w:rsidR="00540A2D" w:rsidRDefault="00000000">
            <w:pPr>
              <w:spacing w:after="40"/>
            </w:pPr>
            <w:r>
              <w:rPr>
                <w:rFonts w:ascii="Arial" w:eastAsia="Arial" w:hAnsi="Arial" w:cs="Arial"/>
                <w:color w:val="7AAAC8"/>
                <w:sz w:val="12"/>
                <w:szCs w:val="12"/>
              </w:rPr>
              <w:t>ROL DE COMFICOL</w:t>
            </w:r>
          </w:p>
          <w:p w14:paraId="318D7DC2" w14:textId="77777777" w:rsidR="00540A2D" w:rsidRDefault="00000000">
            <w:pPr>
              <w:spacing w:after="30"/>
            </w:pPr>
            <w:r>
              <w:rPr>
                <w:rFonts w:ascii="Georgia" w:eastAsia="Georgia" w:hAnsi="Georgia" w:cs="Georgia"/>
                <w:b/>
                <w:bCs/>
                <w:color w:val="FFFFFF"/>
                <w:sz w:val="22"/>
                <w:szCs w:val="22"/>
              </w:rPr>
              <w:t>Gestión 100%</w:t>
            </w:r>
          </w:p>
          <w:p w14:paraId="1C1E595D" w14:textId="77777777" w:rsidR="00540A2D" w:rsidRDefault="00000000">
            <w:r>
              <w:rPr>
                <w:rFonts w:ascii="Arial" w:eastAsia="Arial" w:hAnsi="Arial" w:cs="Arial"/>
                <w:color w:val="5AB8E0"/>
                <w:sz w:val="13"/>
                <w:szCs w:val="13"/>
              </w:rPr>
              <w:t>Origina · Estructura · Monitorea</w:t>
            </w:r>
          </w:p>
        </w:tc>
        <w:tc>
          <w:tcPr>
            <w:tcW w:w="3214" w:type="dxa"/>
            <w:tcBorders>
              <w:top w:val="none" w:sz="0" w:space="0" w:color="FFFFFF"/>
              <w:left w:val="none" w:sz="0" w:space="0" w:color="FFFFFF"/>
              <w:bottom w:val="single" w:sz="8" w:space="0" w:color="1E9CD7"/>
              <w:right w:val="none" w:sz="0" w:space="0" w:color="FFFFFF"/>
            </w:tcBorders>
            <w:shd w:val="clear" w:color="auto" w:fill="1A4B7A"/>
            <w:tcMar>
              <w:top w:w="100" w:type="dxa"/>
              <w:left w:w="160" w:type="dxa"/>
              <w:bottom w:w="100" w:type="dxa"/>
              <w:right w:w="140" w:type="dxa"/>
            </w:tcMar>
          </w:tcPr>
          <w:p w14:paraId="53570F1D" w14:textId="77777777" w:rsidR="00540A2D" w:rsidRDefault="00000000">
            <w:pPr>
              <w:spacing w:after="40"/>
            </w:pPr>
            <w:r>
              <w:rPr>
                <w:rFonts w:ascii="Arial" w:eastAsia="Arial" w:hAnsi="Arial" w:cs="Arial"/>
                <w:color w:val="7AAAC8"/>
                <w:sz w:val="12"/>
                <w:szCs w:val="12"/>
              </w:rPr>
              <w:t>ALINEACIÓN</w:t>
            </w:r>
          </w:p>
          <w:p w14:paraId="4DEBAC91" w14:textId="77777777" w:rsidR="00540A2D" w:rsidRDefault="00000000">
            <w:pPr>
              <w:spacing w:after="30"/>
            </w:pPr>
            <w:r>
              <w:rPr>
                <w:rFonts w:ascii="Georgia" w:eastAsia="Georgia" w:hAnsi="Georgia" w:cs="Georgia"/>
                <w:b/>
                <w:bCs/>
                <w:color w:val="FFFFFF"/>
                <w:sz w:val="22"/>
                <w:szCs w:val="22"/>
              </w:rPr>
              <w:t xml:space="preserve">Fee + </w:t>
            </w:r>
            <w:proofErr w:type="spellStart"/>
            <w:r>
              <w:rPr>
                <w:rFonts w:ascii="Georgia" w:eastAsia="Georgia" w:hAnsi="Georgia" w:cs="Georgia"/>
                <w:b/>
                <w:bCs/>
                <w:color w:val="FFFFFF"/>
                <w:sz w:val="22"/>
                <w:szCs w:val="22"/>
              </w:rPr>
              <w:t>Carry</w:t>
            </w:r>
            <w:proofErr w:type="spellEnd"/>
          </w:p>
          <w:p w14:paraId="65481921" w14:textId="77777777" w:rsidR="00540A2D" w:rsidRDefault="00000000">
            <w:r>
              <w:rPr>
                <w:rFonts w:ascii="Arial" w:eastAsia="Arial" w:hAnsi="Arial" w:cs="Arial"/>
                <w:color w:val="5AB8E0"/>
                <w:sz w:val="13"/>
                <w:szCs w:val="13"/>
              </w:rPr>
              <w:t>COMFICOL gana más si el fondo gana más</w:t>
            </w:r>
          </w:p>
        </w:tc>
      </w:tr>
    </w:tbl>
    <w:p w14:paraId="7FB889F0" w14:textId="77777777" w:rsidR="00540A2D" w:rsidRDefault="00540A2D">
      <w:pPr>
        <w:spacing w:after="60"/>
      </w:pPr>
    </w:p>
    <w:p w14:paraId="6590B57F" w14:textId="77777777" w:rsidR="00540A2D" w:rsidRDefault="00000000">
      <w:pPr>
        <w:spacing w:before="40" w:after="60"/>
      </w:pPr>
      <w:r>
        <w:rPr>
          <w:rFonts w:ascii="Arial" w:eastAsia="Arial" w:hAnsi="Arial" w:cs="Arial"/>
          <w:color w:val="2A3F52"/>
          <w:sz w:val="17"/>
          <w:szCs w:val="17"/>
        </w:rPr>
        <w:t xml:space="preserve">El fondo entra a la fiducia de cada proyecto como fideicomitente beneficiario de pago de lote y utilidad del lote. Todas las instrucciones de giro son aprobadas por el fondo como fideicomitente. COMFICOL actúa como gestor </w:t>
      </w:r>
      <w:proofErr w:type="spellStart"/>
      <w:r>
        <w:rPr>
          <w:rFonts w:ascii="Arial" w:eastAsia="Arial" w:hAnsi="Arial" w:cs="Arial"/>
          <w:color w:val="2A3F52"/>
          <w:sz w:val="17"/>
          <w:szCs w:val="17"/>
        </w:rPr>
        <w:t>instruyente</w:t>
      </w:r>
      <w:proofErr w:type="spellEnd"/>
      <w:r>
        <w:rPr>
          <w:rFonts w:ascii="Arial" w:eastAsia="Arial" w:hAnsi="Arial" w:cs="Arial"/>
          <w:color w:val="2A3F52"/>
          <w:sz w:val="17"/>
          <w:szCs w:val="17"/>
        </w:rPr>
        <w:t xml:space="preserve"> bajo un contrato de prestación de servicios de estructuración.</w:t>
      </w:r>
    </w:p>
    <w:p w14:paraId="7B8FA5F8" w14:textId="77777777" w:rsidR="00540A2D" w:rsidRDefault="00540A2D">
      <w:pPr>
        <w:spacing w:after="160"/>
      </w:pPr>
    </w:p>
    <w:p w14:paraId="50DF1D52"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04  </w:t>
      </w:r>
      <w:r>
        <w:rPr>
          <w:rFonts w:ascii="Georgia" w:eastAsia="Georgia" w:hAnsi="Georgia" w:cs="Georgia"/>
          <w:b/>
          <w:bCs/>
          <w:color w:val="1A4B7A"/>
          <w:sz w:val="22"/>
          <w:szCs w:val="22"/>
        </w:rPr>
        <w:t>Tesis de Retorno: ¿De Dónde Sale el 28% E.A.?</w:t>
      </w:r>
    </w:p>
    <w:p w14:paraId="1A74A0F1" w14:textId="77777777" w:rsidR="00540A2D" w:rsidRDefault="00540A2D">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178"/>
        <w:gridCol w:w="3460"/>
      </w:tblGrid>
      <w:tr w:rsidR="00540A2D" w14:paraId="22433CA7" w14:textId="77777777">
        <w:tblPrEx>
          <w:tblCellMar>
            <w:top w:w="0" w:type="dxa"/>
            <w:bottom w:w="0" w:type="dxa"/>
          </w:tblCellMar>
        </w:tblPrEx>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074F0257" w14:textId="77777777" w:rsidR="00540A2D" w:rsidRDefault="00000000">
            <w:pPr>
              <w:spacing w:after="40"/>
            </w:pPr>
            <w:proofErr w:type="spellStart"/>
            <w:r>
              <w:rPr>
                <w:rFonts w:ascii="Arial" w:eastAsia="Arial" w:hAnsi="Arial" w:cs="Arial"/>
                <w:b/>
                <w:bCs/>
                <w:color w:val="1A4B7A"/>
                <w:sz w:val="15"/>
                <w:szCs w:val="15"/>
              </w:rPr>
              <w:t>Pricing</w:t>
            </w:r>
            <w:proofErr w:type="spellEnd"/>
            <w:r>
              <w:rPr>
                <w:rFonts w:ascii="Arial" w:eastAsia="Arial" w:hAnsi="Arial" w:cs="Arial"/>
                <w:b/>
                <w:bCs/>
                <w:color w:val="1A4B7A"/>
                <w:sz w:val="15"/>
                <w:szCs w:val="15"/>
              </w:rPr>
              <w:t xml:space="preserve"> diferenciado</w:t>
            </w:r>
          </w:p>
          <w:p w14:paraId="7D196D56" w14:textId="77777777" w:rsidR="00540A2D" w:rsidRDefault="00000000">
            <w:r>
              <w:rPr>
                <w:rFonts w:ascii="Arial" w:eastAsia="Arial" w:hAnsi="Arial" w:cs="Arial"/>
                <w:color w:val="2A3F52"/>
                <w:sz w:val="15"/>
                <w:szCs w:val="15"/>
              </w:rPr>
              <w:t>COMFICOL financia a una tasa de 14%–22% E.A. al constructor. Esta tasa es sostenible porque cubre solo el 20% de la financiación total del proyecto; el 80% restante lo financia el banco a tasa inferior. El costo se promedia dentro del margen del proyecto.</w:t>
            </w:r>
          </w:p>
        </w:tc>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5384831D" w14:textId="77777777" w:rsidR="00540A2D" w:rsidRDefault="00000000">
            <w:pPr>
              <w:spacing w:after="40"/>
            </w:pPr>
            <w:r>
              <w:rPr>
                <w:rFonts w:ascii="Arial" w:eastAsia="Arial" w:hAnsi="Arial" w:cs="Arial"/>
                <w:b/>
                <w:bCs/>
                <w:color w:val="1A4B7A"/>
                <w:sz w:val="15"/>
                <w:szCs w:val="15"/>
              </w:rPr>
              <w:t>Ciclo de arranque + repago largo</w:t>
            </w:r>
          </w:p>
          <w:p w14:paraId="1DA6C794" w14:textId="77777777" w:rsidR="00540A2D" w:rsidRDefault="00000000">
            <w:r>
              <w:rPr>
                <w:rFonts w:ascii="Arial" w:eastAsia="Arial" w:hAnsi="Arial" w:cs="Arial"/>
                <w:color w:val="2A3F52"/>
                <w:sz w:val="15"/>
                <w:szCs w:val="15"/>
              </w:rPr>
              <w:t>La fase de arranque dura ~6 meses, pero el repago se distribuye durante todo el periodo de construcción (2–3 años) con pagos parciales, lo que sostiene la TIR anualizada.</w:t>
            </w:r>
          </w:p>
        </w:tc>
      </w:tr>
      <w:tr w:rsidR="00540A2D" w14:paraId="62BAA59B" w14:textId="77777777">
        <w:tblPrEx>
          <w:tblCellMar>
            <w:top w:w="0" w:type="dxa"/>
            <w:bottom w:w="0" w:type="dxa"/>
          </w:tblCellMar>
        </w:tblPrEx>
        <w:trPr>
          <w:gridAfter w:val="1"/>
          <w:wAfter w:w="4819" w:type="dxa"/>
        </w:trPr>
        <w:tc>
          <w:tcPr>
            <w:tcW w:w="9638" w:type="dxa"/>
            <w:tcBorders>
              <w:top w:val="none" w:sz="0" w:space="0" w:color="FFFFFF"/>
              <w:left w:val="none" w:sz="0" w:space="0" w:color="FFFFFF"/>
              <w:bottom w:val="none" w:sz="0" w:space="0" w:color="FFFFFF"/>
              <w:right w:val="none" w:sz="0" w:space="0" w:color="FFFFFF"/>
            </w:tcBorders>
          </w:tcPr>
          <w:p w14:paraId="087A9BE0" w14:textId="77777777" w:rsidR="00540A2D" w:rsidRDefault="00540A2D">
            <w:pPr>
              <w:spacing w:after="40"/>
            </w:pPr>
          </w:p>
        </w:tc>
      </w:tr>
      <w:tr w:rsidR="00540A2D" w14:paraId="2782DEA7" w14:textId="77777777">
        <w:tblPrEx>
          <w:tblCellMar>
            <w:top w:w="0" w:type="dxa"/>
            <w:bottom w:w="0" w:type="dxa"/>
          </w:tblCellMar>
        </w:tblPrEx>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2D702538" w14:textId="77777777" w:rsidR="00540A2D" w:rsidRDefault="00000000">
            <w:pPr>
              <w:spacing w:after="40"/>
            </w:pPr>
            <w:r>
              <w:rPr>
                <w:rFonts w:ascii="Arial" w:eastAsia="Arial" w:hAnsi="Arial" w:cs="Arial"/>
                <w:b/>
                <w:bCs/>
                <w:color w:val="1A4B7A"/>
                <w:sz w:val="15"/>
                <w:szCs w:val="15"/>
              </w:rPr>
              <w:t xml:space="preserve">Default </w:t>
            </w:r>
            <w:proofErr w:type="spellStart"/>
            <w:r>
              <w:rPr>
                <w:rFonts w:ascii="Arial" w:eastAsia="Arial" w:hAnsi="Arial" w:cs="Arial"/>
                <w:b/>
                <w:bCs/>
                <w:color w:val="1A4B7A"/>
                <w:sz w:val="15"/>
                <w:szCs w:val="15"/>
              </w:rPr>
              <w:t>interest</w:t>
            </w:r>
            <w:proofErr w:type="spellEnd"/>
            <w:r>
              <w:rPr>
                <w:rFonts w:ascii="Arial" w:eastAsia="Arial" w:hAnsi="Arial" w:cs="Arial"/>
                <w:b/>
                <w:bCs/>
                <w:color w:val="1A4B7A"/>
                <w:sz w:val="15"/>
                <w:szCs w:val="15"/>
              </w:rPr>
              <w:t xml:space="preserve"> como protección</w:t>
            </w:r>
          </w:p>
          <w:p w14:paraId="42509D20" w14:textId="77777777" w:rsidR="00540A2D" w:rsidRDefault="00000000">
            <w:r>
              <w:rPr>
                <w:rFonts w:ascii="Arial" w:eastAsia="Arial" w:hAnsi="Arial" w:cs="Arial"/>
                <w:color w:val="2A3F52"/>
                <w:sz w:val="15"/>
                <w:szCs w:val="15"/>
              </w:rPr>
              <w:t xml:space="preserve">Si el proyecto presenta retrasos, se activa un default </w:t>
            </w:r>
            <w:proofErr w:type="spellStart"/>
            <w:r>
              <w:rPr>
                <w:rFonts w:ascii="Arial" w:eastAsia="Arial" w:hAnsi="Arial" w:cs="Arial"/>
                <w:color w:val="2A3F52"/>
                <w:sz w:val="15"/>
                <w:szCs w:val="15"/>
              </w:rPr>
              <w:t>interest</w:t>
            </w:r>
            <w:proofErr w:type="spellEnd"/>
            <w:r>
              <w:rPr>
                <w:rFonts w:ascii="Arial" w:eastAsia="Arial" w:hAnsi="Arial" w:cs="Arial"/>
                <w:color w:val="2A3F52"/>
                <w:sz w:val="15"/>
                <w:szCs w:val="15"/>
              </w:rPr>
              <w:t xml:space="preserve"> que permite mantener la TIR proyectada del fondo. El rendimiento no cae por demoras del constructor.</w:t>
            </w:r>
          </w:p>
        </w:tc>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29A8AEEA" w14:textId="77777777" w:rsidR="00540A2D" w:rsidRDefault="00000000">
            <w:pPr>
              <w:spacing w:after="40"/>
            </w:pPr>
            <w:r>
              <w:rPr>
                <w:rFonts w:ascii="Arial" w:eastAsia="Arial" w:hAnsi="Arial" w:cs="Arial"/>
                <w:b/>
                <w:bCs/>
                <w:color w:val="1A4B7A"/>
                <w:sz w:val="15"/>
                <w:szCs w:val="15"/>
              </w:rPr>
              <w:t>Garantía real sobre el lote</w:t>
            </w:r>
          </w:p>
          <w:p w14:paraId="474B1C20" w14:textId="77777777" w:rsidR="00540A2D" w:rsidRDefault="00000000">
            <w:r>
              <w:rPr>
                <w:rFonts w:ascii="Arial" w:eastAsia="Arial" w:hAnsi="Arial" w:cs="Arial"/>
                <w:color w:val="2A3F52"/>
                <w:sz w:val="15"/>
                <w:szCs w:val="15"/>
              </w:rPr>
              <w:t>Si el proyecto no llega al punto de equilibrio, se aplica la cláusula resolutoria del contrato: el fondo se queda con el lote, cuyo valor representa aproximadamente 2 veces la inversión realizada.</w:t>
            </w:r>
          </w:p>
        </w:tc>
      </w:tr>
    </w:tbl>
    <w:p w14:paraId="62A47D24" w14:textId="77777777" w:rsidR="00540A2D" w:rsidRDefault="00540A2D">
      <w:pPr>
        <w:spacing w:after="160"/>
      </w:pPr>
    </w:p>
    <w:p w14:paraId="5B61AB10"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05  </w:t>
      </w:r>
      <w:r>
        <w:rPr>
          <w:rFonts w:ascii="Georgia" w:eastAsia="Georgia" w:hAnsi="Georgia" w:cs="Georgia"/>
          <w:b/>
          <w:bCs/>
          <w:color w:val="1A4B7A"/>
          <w:sz w:val="22"/>
          <w:szCs w:val="22"/>
        </w:rPr>
        <w:t xml:space="preserve">Compensación de COMFICOL: Fee + </w:t>
      </w:r>
      <w:proofErr w:type="spellStart"/>
      <w:r>
        <w:rPr>
          <w:rFonts w:ascii="Georgia" w:eastAsia="Georgia" w:hAnsi="Georgia" w:cs="Georgia"/>
          <w:b/>
          <w:bCs/>
          <w:color w:val="1A4B7A"/>
          <w:sz w:val="22"/>
          <w:szCs w:val="22"/>
        </w:rPr>
        <w:t>Carry</w:t>
      </w:r>
      <w:proofErr w:type="spellEnd"/>
    </w:p>
    <w:p w14:paraId="4CEC6E9C" w14:textId="77777777" w:rsidR="00540A2D" w:rsidRDefault="00540A2D">
      <w:pPr>
        <w:spacing w:after="40"/>
      </w:pPr>
    </w:p>
    <w:p w14:paraId="255C42CC" w14:textId="77777777" w:rsidR="00540A2D" w:rsidRDefault="00000000">
      <w:pPr>
        <w:spacing w:before="40" w:after="60"/>
      </w:pPr>
      <w:r>
        <w:rPr>
          <w:rFonts w:ascii="Arial" w:eastAsia="Arial" w:hAnsi="Arial" w:cs="Arial"/>
          <w:color w:val="2A3F52"/>
          <w:sz w:val="17"/>
          <w:szCs w:val="17"/>
        </w:rPr>
        <w:t>Dos componentes diseñados para que los incentivos de COMFICOL y del fondo apunten en la misma dirección:</w:t>
      </w:r>
    </w:p>
    <w:p w14:paraId="5F7B43B4"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000"/>
        <w:gridCol w:w="1000"/>
        <w:gridCol w:w="3438"/>
      </w:tblGrid>
      <w:tr w:rsidR="00540A2D" w14:paraId="21145ABA"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100" w:type="dxa"/>
            </w:tcMar>
          </w:tcPr>
          <w:p w14:paraId="16E1480E" w14:textId="77777777" w:rsidR="00540A2D" w:rsidRDefault="00000000">
            <w:r>
              <w:rPr>
                <w:rFonts w:ascii="Arial" w:eastAsia="Arial" w:hAnsi="Arial" w:cs="Arial"/>
                <w:b/>
                <w:bCs/>
                <w:color w:val="FFFFFF"/>
                <w:sz w:val="13"/>
                <w:szCs w:val="13"/>
              </w:rPr>
              <w:t>Componente</w:t>
            </w:r>
          </w:p>
        </w:tc>
        <w:tc>
          <w:tcPr>
            <w:tcW w:w="30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100" w:type="dxa"/>
            </w:tcMar>
          </w:tcPr>
          <w:p w14:paraId="5B95F7A2" w14:textId="77777777" w:rsidR="00540A2D" w:rsidRDefault="00000000">
            <w:r>
              <w:rPr>
                <w:rFonts w:ascii="Arial" w:eastAsia="Arial" w:hAnsi="Arial" w:cs="Arial"/>
                <w:b/>
                <w:bCs/>
                <w:color w:val="FFFFFF"/>
                <w:sz w:val="13"/>
                <w:szCs w:val="13"/>
              </w:rPr>
              <w:t>Base de cálculo</w:t>
            </w:r>
          </w:p>
        </w:tc>
        <w:tc>
          <w:tcPr>
            <w:tcW w:w="10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100" w:type="dxa"/>
            </w:tcMar>
          </w:tcPr>
          <w:p w14:paraId="2349E4AF" w14:textId="77777777" w:rsidR="00540A2D" w:rsidRDefault="00000000">
            <w:r>
              <w:rPr>
                <w:rFonts w:ascii="Arial" w:eastAsia="Arial" w:hAnsi="Arial" w:cs="Arial"/>
                <w:b/>
                <w:bCs/>
                <w:color w:val="FFFFFF"/>
                <w:sz w:val="13"/>
                <w:szCs w:val="13"/>
              </w:rPr>
              <w:t>%</w:t>
            </w:r>
          </w:p>
        </w:tc>
        <w:tc>
          <w:tcPr>
            <w:tcW w:w="3438"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100" w:type="dxa"/>
            </w:tcMar>
          </w:tcPr>
          <w:p w14:paraId="64D6D774" w14:textId="77777777" w:rsidR="00540A2D" w:rsidRDefault="00000000">
            <w:r>
              <w:rPr>
                <w:rFonts w:ascii="Arial" w:eastAsia="Arial" w:hAnsi="Arial" w:cs="Arial"/>
                <w:b/>
                <w:bCs/>
                <w:color w:val="FFFFFF"/>
                <w:sz w:val="13"/>
                <w:szCs w:val="13"/>
              </w:rPr>
              <w:t>Cuándo se cobra</w:t>
            </w:r>
          </w:p>
        </w:tc>
      </w:tr>
      <w:tr w:rsidR="00540A2D" w14:paraId="6AA3E0C5" w14:textId="77777777">
        <w:tblPrEx>
          <w:tblCellMar>
            <w:top w:w="0" w:type="dxa"/>
            <w:bottom w:w="0" w:type="dxa"/>
          </w:tblCellMar>
        </w:tblPrEx>
        <w:tc>
          <w:tcPr>
            <w:tcW w:w="22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100" w:type="dxa"/>
            </w:tcMar>
          </w:tcPr>
          <w:p w14:paraId="24E96664" w14:textId="77777777" w:rsidR="00540A2D" w:rsidRDefault="00000000">
            <w:r>
              <w:rPr>
                <w:rFonts w:ascii="Arial" w:eastAsia="Arial" w:hAnsi="Arial" w:cs="Arial"/>
                <w:color w:val="2A3F52"/>
                <w:sz w:val="15"/>
                <w:szCs w:val="15"/>
              </w:rPr>
              <w:t>Fee de estructuración</w:t>
            </w:r>
          </w:p>
        </w:tc>
        <w:tc>
          <w:tcPr>
            <w:tcW w:w="30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100" w:type="dxa"/>
            </w:tcMar>
          </w:tcPr>
          <w:p w14:paraId="2909D57C" w14:textId="77777777" w:rsidR="00540A2D" w:rsidRDefault="00000000">
            <w:r>
              <w:rPr>
                <w:rFonts w:ascii="Arial" w:eastAsia="Arial" w:hAnsi="Arial" w:cs="Arial"/>
                <w:color w:val="2A3F52"/>
                <w:sz w:val="15"/>
                <w:szCs w:val="15"/>
              </w:rPr>
              <w:t>Capital desplegado por proyecto</w:t>
            </w:r>
          </w:p>
        </w:tc>
        <w:tc>
          <w:tcPr>
            <w:tcW w:w="10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100" w:type="dxa"/>
            </w:tcMar>
          </w:tcPr>
          <w:p w14:paraId="794FB0A3" w14:textId="77777777" w:rsidR="00540A2D" w:rsidRDefault="00000000">
            <w:r>
              <w:rPr>
                <w:rFonts w:ascii="Georgia" w:eastAsia="Georgia" w:hAnsi="Georgia" w:cs="Georgia"/>
                <w:b/>
                <w:bCs/>
                <w:color w:val="1E9CD7"/>
              </w:rPr>
              <w:t>1%–2%</w:t>
            </w:r>
          </w:p>
        </w:tc>
        <w:tc>
          <w:tcPr>
            <w:tcW w:w="3438"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100" w:type="dxa"/>
            </w:tcMar>
          </w:tcPr>
          <w:p w14:paraId="01385F12" w14:textId="77777777" w:rsidR="00540A2D" w:rsidRDefault="00000000">
            <w:r>
              <w:rPr>
                <w:rFonts w:ascii="Arial" w:eastAsia="Arial" w:hAnsi="Arial" w:cs="Arial"/>
                <w:color w:val="2A3F52"/>
                <w:sz w:val="15"/>
                <w:szCs w:val="15"/>
              </w:rPr>
              <w:t>Al cierre de cada operación</w:t>
            </w:r>
          </w:p>
        </w:tc>
      </w:tr>
      <w:tr w:rsidR="00540A2D" w14:paraId="379CCD06"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0F7FC"/>
            <w:tcMar>
              <w:top w:w="80" w:type="dxa"/>
              <w:left w:w="120" w:type="dxa"/>
              <w:bottom w:w="80" w:type="dxa"/>
              <w:right w:w="100" w:type="dxa"/>
            </w:tcMar>
          </w:tcPr>
          <w:p w14:paraId="2BF2DE5B" w14:textId="77777777" w:rsidR="00540A2D" w:rsidRDefault="00000000">
            <w:proofErr w:type="spellStart"/>
            <w:r>
              <w:rPr>
                <w:rFonts w:ascii="Arial" w:eastAsia="Arial" w:hAnsi="Arial" w:cs="Arial"/>
                <w:color w:val="2A3F52"/>
                <w:sz w:val="15"/>
                <w:szCs w:val="15"/>
              </w:rPr>
              <w:t>Carry</w:t>
            </w:r>
            <w:proofErr w:type="spellEnd"/>
            <w:r>
              <w:rPr>
                <w:rFonts w:ascii="Arial" w:eastAsia="Arial" w:hAnsi="Arial" w:cs="Arial"/>
                <w:color w:val="2A3F52"/>
                <w:sz w:val="15"/>
                <w:szCs w:val="15"/>
              </w:rPr>
              <w:t xml:space="preserve"> sobre TIR</w:t>
            </w:r>
          </w:p>
        </w:tc>
        <w:tc>
          <w:tcPr>
            <w:tcW w:w="3000" w:type="dxa"/>
            <w:tcBorders>
              <w:top w:val="none" w:sz="0" w:space="0" w:color="FFFFFF"/>
              <w:left w:val="none" w:sz="0" w:space="0" w:color="FFFFFF"/>
              <w:bottom w:val="none" w:sz="0" w:space="0" w:color="FFFFFF"/>
              <w:right w:val="none" w:sz="0" w:space="0" w:color="FFFFFF"/>
            </w:tcBorders>
            <w:shd w:val="clear" w:color="auto" w:fill="F0F7FC"/>
            <w:tcMar>
              <w:top w:w="80" w:type="dxa"/>
              <w:left w:w="120" w:type="dxa"/>
              <w:bottom w:w="80" w:type="dxa"/>
              <w:right w:w="100" w:type="dxa"/>
            </w:tcMar>
          </w:tcPr>
          <w:p w14:paraId="1F490082" w14:textId="77777777" w:rsidR="00540A2D" w:rsidRDefault="00000000">
            <w:r>
              <w:rPr>
                <w:rFonts w:ascii="Arial" w:eastAsia="Arial" w:hAnsi="Arial" w:cs="Arial"/>
                <w:color w:val="2A3F52"/>
                <w:sz w:val="15"/>
                <w:szCs w:val="15"/>
              </w:rPr>
              <w:t>Retorno que supere la TIR base pactada</w:t>
            </w:r>
          </w:p>
        </w:tc>
        <w:tc>
          <w:tcPr>
            <w:tcW w:w="1000" w:type="dxa"/>
            <w:tcBorders>
              <w:top w:val="none" w:sz="0" w:space="0" w:color="FFFFFF"/>
              <w:left w:val="none" w:sz="0" w:space="0" w:color="FFFFFF"/>
              <w:bottom w:val="none" w:sz="0" w:space="0" w:color="FFFFFF"/>
              <w:right w:val="none" w:sz="0" w:space="0" w:color="FFFFFF"/>
            </w:tcBorders>
            <w:shd w:val="clear" w:color="auto" w:fill="F0F7FC"/>
            <w:tcMar>
              <w:top w:w="80" w:type="dxa"/>
              <w:left w:w="120" w:type="dxa"/>
              <w:bottom w:w="80" w:type="dxa"/>
              <w:right w:w="100" w:type="dxa"/>
            </w:tcMar>
          </w:tcPr>
          <w:p w14:paraId="4EA53E96" w14:textId="77777777" w:rsidR="00540A2D" w:rsidRDefault="00000000">
            <w:r>
              <w:rPr>
                <w:rFonts w:ascii="Georgia" w:eastAsia="Georgia" w:hAnsi="Georgia" w:cs="Georgia"/>
                <w:b/>
                <w:bCs/>
                <w:color w:val="1E9CD7"/>
              </w:rPr>
              <w:t>20%</w:t>
            </w:r>
          </w:p>
        </w:tc>
        <w:tc>
          <w:tcPr>
            <w:tcW w:w="3438" w:type="dxa"/>
            <w:tcBorders>
              <w:top w:val="none" w:sz="0" w:space="0" w:color="FFFFFF"/>
              <w:left w:val="none" w:sz="0" w:space="0" w:color="FFFFFF"/>
              <w:bottom w:val="none" w:sz="0" w:space="0" w:color="FFFFFF"/>
              <w:right w:val="none" w:sz="0" w:space="0" w:color="FFFFFF"/>
            </w:tcBorders>
            <w:shd w:val="clear" w:color="auto" w:fill="F0F7FC"/>
            <w:tcMar>
              <w:top w:w="80" w:type="dxa"/>
              <w:left w:w="120" w:type="dxa"/>
              <w:bottom w:w="80" w:type="dxa"/>
              <w:right w:w="100" w:type="dxa"/>
            </w:tcMar>
          </w:tcPr>
          <w:p w14:paraId="345EE5A5" w14:textId="77777777" w:rsidR="00540A2D" w:rsidRDefault="00000000">
            <w:r>
              <w:rPr>
                <w:rFonts w:ascii="Arial" w:eastAsia="Arial" w:hAnsi="Arial" w:cs="Arial"/>
                <w:color w:val="2A3F52"/>
                <w:sz w:val="15"/>
                <w:szCs w:val="15"/>
              </w:rPr>
              <w:t>Al repago, después del fondo</w:t>
            </w:r>
          </w:p>
        </w:tc>
      </w:tr>
    </w:tbl>
    <w:p w14:paraId="1572301B" w14:textId="77777777" w:rsidR="00540A2D" w:rsidRDefault="00540A2D">
      <w:pPr>
        <w:spacing w:after="60"/>
      </w:pPr>
    </w:p>
    <w:p w14:paraId="58AC35E0" w14:textId="77777777" w:rsidR="00540A2D" w:rsidRDefault="00000000">
      <w:pPr>
        <w:spacing w:before="40" w:after="60"/>
      </w:pPr>
      <w:r>
        <w:rPr>
          <w:rFonts w:ascii="Arial" w:eastAsia="Arial" w:hAnsi="Arial" w:cs="Arial"/>
          <w:i/>
          <w:iCs/>
          <w:color w:val="2A3F52"/>
          <w:sz w:val="17"/>
          <w:szCs w:val="17"/>
        </w:rPr>
        <w:t xml:space="preserve">El </w:t>
      </w:r>
      <w:proofErr w:type="spellStart"/>
      <w:r>
        <w:rPr>
          <w:rFonts w:ascii="Arial" w:eastAsia="Arial" w:hAnsi="Arial" w:cs="Arial"/>
          <w:i/>
          <w:iCs/>
          <w:color w:val="2A3F52"/>
          <w:sz w:val="17"/>
          <w:szCs w:val="17"/>
        </w:rPr>
        <w:t>carry</w:t>
      </w:r>
      <w:proofErr w:type="spellEnd"/>
      <w:r>
        <w:rPr>
          <w:rFonts w:ascii="Arial" w:eastAsia="Arial" w:hAnsi="Arial" w:cs="Arial"/>
          <w:i/>
          <w:iCs/>
          <w:color w:val="2A3F52"/>
          <w:sz w:val="17"/>
          <w:szCs w:val="17"/>
        </w:rPr>
        <w:t xml:space="preserve"> de COMFICOL solo se activa después de que el fondo haya cobrado capital e intereses preferentes completos. COMFICOL no cobra </w:t>
      </w:r>
      <w:proofErr w:type="spellStart"/>
      <w:r>
        <w:rPr>
          <w:rFonts w:ascii="Arial" w:eastAsia="Arial" w:hAnsi="Arial" w:cs="Arial"/>
          <w:i/>
          <w:iCs/>
          <w:color w:val="2A3F52"/>
          <w:sz w:val="17"/>
          <w:szCs w:val="17"/>
        </w:rPr>
        <w:t>carry</w:t>
      </w:r>
      <w:proofErr w:type="spellEnd"/>
      <w:r>
        <w:rPr>
          <w:rFonts w:ascii="Arial" w:eastAsia="Arial" w:hAnsi="Arial" w:cs="Arial"/>
          <w:i/>
          <w:iCs/>
          <w:color w:val="2A3F52"/>
          <w:sz w:val="17"/>
          <w:szCs w:val="17"/>
        </w:rPr>
        <w:t xml:space="preserve"> si el fondo no gana primero.</w:t>
      </w:r>
    </w:p>
    <w:p w14:paraId="619BC9CF" w14:textId="77777777" w:rsidR="00540A2D" w:rsidRDefault="00540A2D">
      <w:pPr>
        <w:spacing w:after="160"/>
      </w:pPr>
    </w:p>
    <w:p w14:paraId="3099F892"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06  </w:t>
      </w:r>
      <w:r>
        <w:rPr>
          <w:rFonts w:ascii="Georgia" w:eastAsia="Georgia" w:hAnsi="Georgia" w:cs="Georgia"/>
          <w:b/>
          <w:bCs/>
          <w:color w:val="1A4B7A"/>
          <w:sz w:val="22"/>
          <w:szCs w:val="22"/>
        </w:rPr>
        <w:t>Evidencia: Tres Proyectos en Operación</w:t>
      </w:r>
    </w:p>
    <w:p w14:paraId="1DE1C1DF" w14:textId="77777777" w:rsidR="00540A2D" w:rsidRDefault="00540A2D">
      <w:pPr>
        <w:spacing w:after="40"/>
      </w:pPr>
    </w:p>
    <w:p w14:paraId="78D750C4" w14:textId="77777777" w:rsidR="00540A2D" w:rsidRDefault="00000000">
      <w:pPr>
        <w:spacing w:before="40" w:after="60"/>
      </w:pPr>
      <w:r>
        <w:rPr>
          <w:rFonts w:ascii="Arial" w:eastAsia="Arial" w:hAnsi="Arial" w:cs="Arial"/>
          <w:color w:val="2A3F52"/>
          <w:sz w:val="17"/>
          <w:szCs w:val="17"/>
        </w:rPr>
        <w:t>COMFICOL ya opera este modelo. Los tres proyectos tienen fiducia constituida y cesión de derechos económicos suscritas. Los constructores tienen trayectoria verificada: empresa fundada en 2013, 14 proyectos ejecutados, más de 550 empleos directos e indirectos, sin incumplimientos ni procesos judiciales.</w:t>
      </w:r>
    </w:p>
    <w:p w14:paraId="7742575A"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00"/>
        <w:gridCol w:w="2000"/>
        <w:gridCol w:w="1400"/>
        <w:gridCol w:w="1000"/>
        <w:gridCol w:w="1200"/>
        <w:gridCol w:w="2538"/>
      </w:tblGrid>
      <w:tr w:rsidR="00540A2D" w14:paraId="0CF2C1BB" w14:textId="77777777">
        <w:tblPrEx>
          <w:tblCellMar>
            <w:top w:w="0" w:type="dxa"/>
            <w:bottom w:w="0" w:type="dxa"/>
          </w:tblCellMar>
        </w:tblPrEx>
        <w:tc>
          <w:tcPr>
            <w:tcW w:w="15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471E041E" w14:textId="77777777" w:rsidR="00540A2D" w:rsidRDefault="00000000">
            <w:r>
              <w:rPr>
                <w:rFonts w:ascii="Arial" w:eastAsia="Arial" w:hAnsi="Arial" w:cs="Arial"/>
                <w:b/>
                <w:bCs/>
                <w:color w:val="FFFFFF"/>
                <w:sz w:val="13"/>
                <w:szCs w:val="13"/>
              </w:rPr>
              <w:t>Proyecto</w:t>
            </w:r>
          </w:p>
        </w:tc>
        <w:tc>
          <w:tcPr>
            <w:tcW w:w="20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6590C671" w14:textId="77777777" w:rsidR="00540A2D" w:rsidRDefault="00000000">
            <w:r>
              <w:rPr>
                <w:rFonts w:ascii="Arial" w:eastAsia="Arial" w:hAnsi="Arial" w:cs="Arial"/>
                <w:b/>
                <w:bCs/>
                <w:color w:val="FFFFFF"/>
                <w:sz w:val="13"/>
                <w:szCs w:val="13"/>
              </w:rPr>
              <w:t>Constructor</w:t>
            </w:r>
          </w:p>
        </w:tc>
        <w:tc>
          <w:tcPr>
            <w:tcW w:w="14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7E19CB31" w14:textId="77777777" w:rsidR="00540A2D" w:rsidRDefault="00000000">
            <w:r>
              <w:rPr>
                <w:rFonts w:ascii="Arial" w:eastAsia="Arial" w:hAnsi="Arial" w:cs="Arial"/>
                <w:b/>
                <w:bCs/>
                <w:color w:val="FFFFFF"/>
                <w:sz w:val="13"/>
                <w:szCs w:val="13"/>
              </w:rPr>
              <w:t>Monto (COP M)</w:t>
            </w:r>
          </w:p>
        </w:tc>
        <w:tc>
          <w:tcPr>
            <w:tcW w:w="10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3E951774" w14:textId="77777777" w:rsidR="00540A2D" w:rsidRDefault="00000000">
            <w:r>
              <w:rPr>
                <w:rFonts w:ascii="Arial" w:eastAsia="Arial" w:hAnsi="Arial" w:cs="Arial"/>
                <w:b/>
                <w:bCs/>
                <w:color w:val="FFFFFF"/>
                <w:sz w:val="13"/>
                <w:szCs w:val="13"/>
              </w:rPr>
              <w:t>Plazo</w:t>
            </w:r>
          </w:p>
        </w:tc>
        <w:tc>
          <w:tcPr>
            <w:tcW w:w="12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78B19255" w14:textId="77777777" w:rsidR="00540A2D" w:rsidRDefault="00000000">
            <w:r>
              <w:rPr>
                <w:rFonts w:ascii="Arial" w:eastAsia="Arial" w:hAnsi="Arial" w:cs="Arial"/>
                <w:b/>
                <w:bCs/>
                <w:color w:val="FFFFFF"/>
                <w:sz w:val="13"/>
                <w:szCs w:val="13"/>
              </w:rPr>
              <w:t>Retorno E.A.</w:t>
            </w:r>
          </w:p>
        </w:tc>
        <w:tc>
          <w:tcPr>
            <w:tcW w:w="2538"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4F47B4DF" w14:textId="77777777" w:rsidR="00540A2D" w:rsidRDefault="00000000">
            <w:r>
              <w:rPr>
                <w:rFonts w:ascii="Arial" w:eastAsia="Arial" w:hAnsi="Arial" w:cs="Arial"/>
                <w:b/>
                <w:bCs/>
                <w:color w:val="FFFFFF"/>
                <w:sz w:val="13"/>
                <w:szCs w:val="13"/>
              </w:rPr>
              <w:t>Estado</w:t>
            </w:r>
          </w:p>
        </w:tc>
      </w:tr>
      <w:tr w:rsidR="00540A2D" w14:paraId="7B478FC1" w14:textId="77777777">
        <w:tblPrEx>
          <w:tblCellMar>
            <w:top w:w="0" w:type="dxa"/>
            <w:bottom w:w="0" w:type="dxa"/>
          </w:tblCellMar>
        </w:tblPrEx>
        <w:tc>
          <w:tcPr>
            <w:tcW w:w="15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57FED9EE" w14:textId="77777777" w:rsidR="00540A2D" w:rsidRDefault="00000000">
            <w:r>
              <w:rPr>
                <w:rFonts w:ascii="Arial" w:eastAsia="Arial" w:hAnsi="Arial" w:cs="Arial"/>
                <w:color w:val="2A3F52"/>
                <w:sz w:val="15"/>
                <w:szCs w:val="15"/>
              </w:rPr>
              <w:t>VIS Bogotá</w:t>
            </w:r>
          </w:p>
        </w:tc>
        <w:tc>
          <w:tcPr>
            <w:tcW w:w="20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66FB65BC" w14:textId="77777777" w:rsidR="00540A2D" w:rsidRDefault="00000000">
            <w:r>
              <w:rPr>
                <w:rFonts w:ascii="Arial" w:eastAsia="Arial" w:hAnsi="Arial" w:cs="Arial"/>
                <w:color w:val="2A3F52"/>
                <w:sz w:val="15"/>
                <w:szCs w:val="15"/>
              </w:rPr>
              <w:t>Confidencial</w:t>
            </w:r>
          </w:p>
        </w:tc>
        <w:tc>
          <w:tcPr>
            <w:tcW w:w="14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557ADB2D" w14:textId="77777777" w:rsidR="00540A2D" w:rsidRDefault="00000000">
            <w:r>
              <w:rPr>
                <w:rFonts w:ascii="Arial" w:eastAsia="Arial" w:hAnsi="Arial" w:cs="Arial"/>
                <w:color w:val="2A3F52"/>
                <w:sz w:val="15"/>
                <w:szCs w:val="15"/>
              </w:rPr>
              <w:t>$5.400 M</w:t>
            </w:r>
          </w:p>
        </w:tc>
        <w:tc>
          <w:tcPr>
            <w:tcW w:w="10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65372D2E" w14:textId="77777777" w:rsidR="00540A2D" w:rsidRDefault="00000000">
            <w:r>
              <w:rPr>
                <w:rFonts w:ascii="Arial" w:eastAsia="Arial" w:hAnsi="Arial" w:cs="Arial"/>
                <w:color w:val="2A3F52"/>
                <w:sz w:val="15"/>
                <w:szCs w:val="15"/>
              </w:rPr>
              <w:t>36 meses</w:t>
            </w:r>
          </w:p>
        </w:tc>
        <w:tc>
          <w:tcPr>
            <w:tcW w:w="12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10CD23C4" w14:textId="77777777" w:rsidR="00540A2D" w:rsidRDefault="00000000">
            <w:r>
              <w:rPr>
                <w:rFonts w:ascii="Georgia" w:eastAsia="Georgia" w:hAnsi="Georgia" w:cs="Georgia"/>
                <w:b/>
                <w:bCs/>
                <w:color w:val="1E9CD7"/>
                <w:sz w:val="16"/>
                <w:szCs w:val="16"/>
              </w:rPr>
              <w:t>43%</w:t>
            </w:r>
          </w:p>
        </w:tc>
        <w:tc>
          <w:tcPr>
            <w:tcW w:w="2538"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28E1D8D1" w14:textId="77777777" w:rsidR="00540A2D" w:rsidRDefault="00000000">
            <w:r>
              <w:rPr>
                <w:rFonts w:ascii="Arial" w:eastAsia="Arial" w:hAnsi="Arial" w:cs="Arial"/>
                <w:color w:val="2A3F52"/>
                <w:sz w:val="15"/>
                <w:szCs w:val="15"/>
              </w:rPr>
              <w:t>En proceso</w:t>
            </w:r>
          </w:p>
        </w:tc>
      </w:tr>
      <w:tr w:rsidR="00540A2D" w14:paraId="45AD6AD0" w14:textId="77777777">
        <w:tblPrEx>
          <w:tblCellMar>
            <w:top w:w="0" w:type="dxa"/>
            <w:bottom w:w="0" w:type="dxa"/>
          </w:tblCellMar>
        </w:tblPrEx>
        <w:tc>
          <w:tcPr>
            <w:tcW w:w="15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0362EA69" w14:textId="77777777" w:rsidR="00540A2D" w:rsidRDefault="00000000">
            <w:r>
              <w:rPr>
                <w:rFonts w:ascii="Arial" w:eastAsia="Arial" w:hAnsi="Arial" w:cs="Arial"/>
                <w:color w:val="2A3F52"/>
                <w:sz w:val="15"/>
                <w:szCs w:val="15"/>
              </w:rPr>
              <w:t>VIS Armenia</w:t>
            </w:r>
          </w:p>
        </w:tc>
        <w:tc>
          <w:tcPr>
            <w:tcW w:w="20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04C76509" w14:textId="77777777" w:rsidR="00540A2D" w:rsidRDefault="00000000">
            <w:r>
              <w:rPr>
                <w:rFonts w:ascii="Arial" w:eastAsia="Arial" w:hAnsi="Arial" w:cs="Arial"/>
                <w:color w:val="2A3F52"/>
                <w:sz w:val="15"/>
                <w:szCs w:val="15"/>
              </w:rPr>
              <w:t>Confidencial</w:t>
            </w:r>
          </w:p>
        </w:tc>
        <w:tc>
          <w:tcPr>
            <w:tcW w:w="14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707BC828" w14:textId="77777777" w:rsidR="00540A2D" w:rsidRDefault="00000000">
            <w:r>
              <w:rPr>
                <w:rFonts w:ascii="Arial" w:eastAsia="Arial" w:hAnsi="Arial" w:cs="Arial"/>
                <w:color w:val="2A3F52"/>
                <w:sz w:val="15"/>
                <w:szCs w:val="15"/>
              </w:rPr>
              <w:t>$6.000 M</w:t>
            </w:r>
          </w:p>
        </w:tc>
        <w:tc>
          <w:tcPr>
            <w:tcW w:w="10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57BAA815" w14:textId="77777777" w:rsidR="00540A2D" w:rsidRDefault="00000000">
            <w:r>
              <w:rPr>
                <w:rFonts w:ascii="Arial" w:eastAsia="Arial" w:hAnsi="Arial" w:cs="Arial"/>
                <w:color w:val="2A3F52"/>
                <w:sz w:val="15"/>
                <w:szCs w:val="15"/>
              </w:rPr>
              <w:t>24 meses</w:t>
            </w:r>
          </w:p>
        </w:tc>
        <w:tc>
          <w:tcPr>
            <w:tcW w:w="1200"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2ECF09B8" w14:textId="77777777" w:rsidR="00540A2D" w:rsidRDefault="00000000">
            <w:r>
              <w:rPr>
                <w:rFonts w:ascii="Georgia" w:eastAsia="Georgia" w:hAnsi="Georgia" w:cs="Georgia"/>
                <w:b/>
                <w:bCs/>
                <w:color w:val="1E9CD7"/>
                <w:sz w:val="16"/>
                <w:szCs w:val="16"/>
              </w:rPr>
              <w:t>43%</w:t>
            </w:r>
          </w:p>
        </w:tc>
        <w:tc>
          <w:tcPr>
            <w:tcW w:w="2538" w:type="dxa"/>
            <w:tcBorders>
              <w:top w:val="none" w:sz="0" w:space="0" w:color="FFFFFF"/>
              <w:left w:val="none" w:sz="0" w:space="0" w:color="FFFFFF"/>
              <w:bottom w:val="single" w:sz="3" w:space="0" w:color="B8D4E8"/>
              <w:right w:val="none" w:sz="0" w:space="0" w:color="FFFFFF"/>
            </w:tcBorders>
            <w:shd w:val="clear" w:color="auto" w:fill="F0F7FC"/>
            <w:tcMar>
              <w:top w:w="80" w:type="dxa"/>
              <w:left w:w="120" w:type="dxa"/>
              <w:bottom w:w="80" w:type="dxa"/>
              <w:right w:w="80" w:type="dxa"/>
            </w:tcMar>
          </w:tcPr>
          <w:p w14:paraId="57B49462" w14:textId="77777777" w:rsidR="00540A2D" w:rsidRDefault="00000000">
            <w:r>
              <w:rPr>
                <w:rFonts w:ascii="Arial" w:eastAsia="Arial" w:hAnsi="Arial" w:cs="Arial"/>
                <w:color w:val="2A3F52"/>
                <w:sz w:val="15"/>
                <w:szCs w:val="15"/>
              </w:rPr>
              <w:t>En proceso</w:t>
            </w:r>
          </w:p>
        </w:tc>
      </w:tr>
      <w:tr w:rsidR="00540A2D" w14:paraId="4D8E3088" w14:textId="77777777">
        <w:tblPrEx>
          <w:tblCellMar>
            <w:top w:w="0" w:type="dxa"/>
            <w:bottom w:w="0" w:type="dxa"/>
          </w:tblCellMar>
        </w:tblPrEx>
        <w:tc>
          <w:tcPr>
            <w:tcW w:w="15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28E78707" w14:textId="77777777" w:rsidR="00540A2D" w:rsidRDefault="00000000">
            <w:r>
              <w:rPr>
                <w:rFonts w:ascii="Arial" w:eastAsia="Arial" w:hAnsi="Arial" w:cs="Arial"/>
                <w:color w:val="2A3F52"/>
                <w:sz w:val="15"/>
                <w:szCs w:val="15"/>
              </w:rPr>
              <w:t>VIS Manizales</w:t>
            </w:r>
          </w:p>
        </w:tc>
        <w:tc>
          <w:tcPr>
            <w:tcW w:w="20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5533ECBC" w14:textId="77777777" w:rsidR="00540A2D" w:rsidRDefault="00000000">
            <w:r>
              <w:rPr>
                <w:rFonts w:ascii="Arial" w:eastAsia="Arial" w:hAnsi="Arial" w:cs="Arial"/>
                <w:color w:val="2A3F52"/>
                <w:sz w:val="15"/>
                <w:szCs w:val="15"/>
              </w:rPr>
              <w:t>Confidencial</w:t>
            </w:r>
          </w:p>
        </w:tc>
        <w:tc>
          <w:tcPr>
            <w:tcW w:w="14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440DD64B" w14:textId="77777777" w:rsidR="00540A2D" w:rsidRDefault="00000000">
            <w:r>
              <w:rPr>
                <w:rFonts w:ascii="Arial" w:eastAsia="Arial" w:hAnsi="Arial" w:cs="Arial"/>
                <w:color w:val="2A3F52"/>
                <w:sz w:val="15"/>
                <w:szCs w:val="15"/>
              </w:rPr>
              <w:t>$4.000 M</w:t>
            </w:r>
          </w:p>
        </w:tc>
        <w:tc>
          <w:tcPr>
            <w:tcW w:w="10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61E2C799" w14:textId="77777777" w:rsidR="00540A2D" w:rsidRDefault="00000000">
            <w:r>
              <w:rPr>
                <w:rFonts w:ascii="Arial" w:eastAsia="Arial" w:hAnsi="Arial" w:cs="Arial"/>
                <w:color w:val="2A3F52"/>
                <w:sz w:val="15"/>
                <w:szCs w:val="15"/>
              </w:rPr>
              <w:t>36 meses</w:t>
            </w:r>
          </w:p>
        </w:tc>
        <w:tc>
          <w:tcPr>
            <w:tcW w:w="1200"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541015F1" w14:textId="77777777" w:rsidR="00540A2D" w:rsidRDefault="00000000">
            <w:r>
              <w:rPr>
                <w:rFonts w:ascii="Georgia" w:eastAsia="Georgia" w:hAnsi="Georgia" w:cs="Georgia"/>
                <w:b/>
                <w:bCs/>
                <w:color w:val="1E9CD7"/>
                <w:sz w:val="16"/>
                <w:szCs w:val="16"/>
              </w:rPr>
              <w:t>30%</w:t>
            </w:r>
          </w:p>
        </w:tc>
        <w:tc>
          <w:tcPr>
            <w:tcW w:w="2538" w:type="dxa"/>
            <w:tcBorders>
              <w:top w:val="none" w:sz="0" w:space="0" w:color="FFFFFF"/>
              <w:left w:val="none" w:sz="0" w:space="0" w:color="FFFFFF"/>
              <w:bottom w:val="single" w:sz="3" w:space="0" w:color="B8D4E8"/>
              <w:right w:val="none" w:sz="0" w:space="0" w:color="FFFFFF"/>
            </w:tcBorders>
            <w:shd w:val="clear" w:color="auto" w:fill="FFFFFF"/>
            <w:tcMar>
              <w:top w:w="80" w:type="dxa"/>
              <w:left w:w="120" w:type="dxa"/>
              <w:bottom w:w="80" w:type="dxa"/>
              <w:right w:w="80" w:type="dxa"/>
            </w:tcMar>
          </w:tcPr>
          <w:p w14:paraId="0826A4D5" w14:textId="77777777" w:rsidR="00540A2D" w:rsidRDefault="00000000">
            <w:r>
              <w:rPr>
                <w:rFonts w:ascii="Arial" w:eastAsia="Arial" w:hAnsi="Arial" w:cs="Arial"/>
                <w:color w:val="2A3F52"/>
                <w:sz w:val="15"/>
                <w:szCs w:val="15"/>
              </w:rPr>
              <w:t>Repago parcial</w:t>
            </w:r>
          </w:p>
        </w:tc>
      </w:tr>
    </w:tbl>
    <w:p w14:paraId="62E8B13D"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540A2D" w14:paraId="7ED1C3A6" w14:textId="77777777">
        <w:tblPrEx>
          <w:tblCellMar>
            <w:top w:w="0" w:type="dxa"/>
            <w:bottom w:w="0" w:type="dxa"/>
          </w:tblCellMar>
        </w:tblPrEx>
        <w:tc>
          <w:tcPr>
            <w:tcW w:w="9638" w:type="dxa"/>
            <w:tcBorders>
              <w:top w:val="none" w:sz="0" w:space="0" w:color="FFFFFF"/>
              <w:left w:val="single" w:sz="18" w:space="0" w:color="1E9CD7"/>
              <w:bottom w:val="none" w:sz="0" w:space="0" w:color="FFFFFF"/>
              <w:right w:val="none" w:sz="0" w:space="0" w:color="FFFFFF"/>
            </w:tcBorders>
            <w:shd w:val="clear" w:color="auto" w:fill="F0F7FC"/>
            <w:tcMar>
              <w:top w:w="80" w:type="dxa"/>
              <w:left w:w="220" w:type="dxa"/>
              <w:bottom w:w="80" w:type="dxa"/>
              <w:right w:w="180" w:type="dxa"/>
            </w:tcMar>
          </w:tcPr>
          <w:p w14:paraId="13E45737" w14:textId="77777777" w:rsidR="00540A2D" w:rsidRDefault="00000000">
            <w:pPr>
              <w:spacing w:after="30"/>
            </w:pPr>
            <w:r>
              <w:rPr>
                <w:rFonts w:ascii="Arial" w:eastAsia="Arial" w:hAnsi="Arial" w:cs="Arial"/>
                <w:b/>
                <w:bCs/>
                <w:color w:val="1E9CD7"/>
                <w:sz w:val="13"/>
                <w:szCs w:val="13"/>
              </w:rPr>
              <w:lastRenderedPageBreak/>
              <w:t>BOGOTÁ D.C.</w:t>
            </w:r>
          </w:p>
          <w:p w14:paraId="39F29B98" w14:textId="77777777" w:rsidR="00540A2D" w:rsidRDefault="00000000">
            <w:pPr>
              <w:spacing w:after="60"/>
            </w:pPr>
            <w:r>
              <w:rPr>
                <w:rFonts w:ascii="Georgia" w:eastAsia="Georgia" w:hAnsi="Georgia" w:cs="Georgia"/>
                <w:b/>
                <w:bCs/>
                <w:color w:val="1A4B7A"/>
                <w:sz w:val="19"/>
                <w:szCs w:val="19"/>
              </w:rPr>
              <w:t>Proyecto VIS — Bogotá</w:t>
            </w:r>
          </w:p>
          <w:p w14:paraId="2B47DC0E" w14:textId="77777777" w:rsidR="00540A2D" w:rsidRDefault="00000000">
            <w:r>
              <w:rPr>
                <w:rFonts w:ascii="Arial" w:eastAsia="Arial" w:hAnsi="Arial" w:cs="Arial"/>
                <w:b/>
                <w:bCs/>
                <w:color w:val="0D1B2A"/>
                <w:sz w:val="15"/>
                <w:szCs w:val="15"/>
              </w:rPr>
              <w:t xml:space="preserve">Segmento: </w:t>
            </w:r>
            <w:r>
              <w:rPr>
                <w:rFonts w:ascii="Arial" w:eastAsia="Arial" w:hAnsi="Arial" w:cs="Arial"/>
                <w:color w:val="5A7A9A"/>
                <w:sz w:val="15"/>
                <w:szCs w:val="15"/>
              </w:rPr>
              <w:t xml:space="preserve">VIS   </w:t>
            </w:r>
            <w:r>
              <w:rPr>
                <w:rFonts w:ascii="Arial" w:eastAsia="Arial" w:hAnsi="Arial" w:cs="Arial"/>
                <w:b/>
                <w:bCs/>
                <w:color w:val="0D1B2A"/>
                <w:sz w:val="15"/>
                <w:szCs w:val="15"/>
              </w:rPr>
              <w:t xml:space="preserve">Licencia: </w:t>
            </w:r>
            <w:r>
              <w:rPr>
                <w:rFonts w:ascii="Arial" w:eastAsia="Arial" w:hAnsi="Arial" w:cs="Arial"/>
                <w:color w:val="5A7A9A"/>
                <w:sz w:val="15"/>
                <w:szCs w:val="15"/>
              </w:rPr>
              <w:t xml:space="preserve">En trámite   </w:t>
            </w:r>
            <w:r>
              <w:rPr>
                <w:rFonts w:ascii="Arial" w:eastAsia="Arial" w:hAnsi="Arial" w:cs="Arial"/>
                <w:b/>
                <w:bCs/>
                <w:color w:val="0D1B2A"/>
                <w:sz w:val="15"/>
                <w:szCs w:val="15"/>
              </w:rPr>
              <w:t xml:space="preserve">Fiducia: </w:t>
            </w:r>
            <w:r>
              <w:rPr>
                <w:rFonts w:ascii="Arial" w:eastAsia="Arial" w:hAnsi="Arial" w:cs="Arial"/>
                <w:color w:val="5A7A9A"/>
                <w:sz w:val="15"/>
                <w:szCs w:val="15"/>
              </w:rPr>
              <w:t xml:space="preserve">Constituida   </w:t>
            </w:r>
            <w:r>
              <w:rPr>
                <w:rFonts w:ascii="Arial" w:eastAsia="Arial" w:hAnsi="Arial" w:cs="Arial"/>
                <w:b/>
                <w:bCs/>
                <w:color w:val="0D1B2A"/>
                <w:sz w:val="15"/>
                <w:szCs w:val="15"/>
              </w:rPr>
              <w:t xml:space="preserve">Cesión derechos: </w:t>
            </w:r>
            <w:r>
              <w:rPr>
                <w:rFonts w:ascii="Arial" w:eastAsia="Arial" w:hAnsi="Arial" w:cs="Arial"/>
                <w:color w:val="5A7A9A"/>
                <w:sz w:val="15"/>
                <w:szCs w:val="15"/>
              </w:rPr>
              <w:t xml:space="preserve">Suscrita   </w:t>
            </w:r>
            <w:r>
              <w:rPr>
                <w:rFonts w:ascii="Arial" w:eastAsia="Arial" w:hAnsi="Arial" w:cs="Arial"/>
                <w:b/>
                <w:bCs/>
                <w:color w:val="0D1B2A"/>
                <w:sz w:val="15"/>
                <w:szCs w:val="15"/>
              </w:rPr>
              <w:t xml:space="preserve">Estado: </w:t>
            </w:r>
            <w:r>
              <w:rPr>
                <w:rFonts w:ascii="Arial" w:eastAsia="Arial" w:hAnsi="Arial" w:cs="Arial"/>
                <w:color w:val="5A7A9A"/>
                <w:sz w:val="15"/>
                <w:szCs w:val="15"/>
              </w:rPr>
              <w:t>Estructuración activa</w:t>
            </w:r>
          </w:p>
        </w:tc>
      </w:tr>
    </w:tbl>
    <w:p w14:paraId="504BAAD8" w14:textId="77777777" w:rsidR="00540A2D" w:rsidRDefault="00540A2D">
      <w:pPr>
        <w:spacing w:after="3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540A2D" w14:paraId="2CA4F7E1" w14:textId="77777777">
        <w:tblPrEx>
          <w:tblCellMar>
            <w:top w:w="0" w:type="dxa"/>
            <w:bottom w:w="0" w:type="dxa"/>
          </w:tblCellMar>
        </w:tblPrEx>
        <w:tc>
          <w:tcPr>
            <w:tcW w:w="9638" w:type="dxa"/>
            <w:tcBorders>
              <w:top w:val="none" w:sz="0" w:space="0" w:color="FFFFFF"/>
              <w:left w:val="single" w:sz="18" w:space="0" w:color="1E9CD7"/>
              <w:bottom w:val="none" w:sz="0" w:space="0" w:color="FFFFFF"/>
              <w:right w:val="none" w:sz="0" w:space="0" w:color="FFFFFF"/>
            </w:tcBorders>
            <w:shd w:val="clear" w:color="auto" w:fill="F0F7FC"/>
            <w:tcMar>
              <w:top w:w="80" w:type="dxa"/>
              <w:left w:w="220" w:type="dxa"/>
              <w:bottom w:w="80" w:type="dxa"/>
              <w:right w:w="180" w:type="dxa"/>
            </w:tcMar>
          </w:tcPr>
          <w:p w14:paraId="01E5FDE9" w14:textId="77777777" w:rsidR="00540A2D" w:rsidRDefault="00000000">
            <w:pPr>
              <w:spacing w:after="30"/>
            </w:pPr>
            <w:r>
              <w:rPr>
                <w:rFonts w:ascii="Arial" w:eastAsia="Arial" w:hAnsi="Arial" w:cs="Arial"/>
                <w:b/>
                <w:bCs/>
                <w:color w:val="1E9CD7"/>
                <w:sz w:val="13"/>
                <w:szCs w:val="13"/>
              </w:rPr>
              <w:t>ARMENIA, QUINDÍO</w:t>
            </w:r>
          </w:p>
          <w:p w14:paraId="6F4A7429" w14:textId="77777777" w:rsidR="00540A2D" w:rsidRDefault="00000000">
            <w:pPr>
              <w:spacing w:after="60"/>
            </w:pPr>
            <w:r>
              <w:rPr>
                <w:rFonts w:ascii="Georgia" w:eastAsia="Georgia" w:hAnsi="Georgia" w:cs="Georgia"/>
                <w:b/>
                <w:bCs/>
                <w:color w:val="1A4B7A"/>
                <w:sz w:val="19"/>
                <w:szCs w:val="19"/>
              </w:rPr>
              <w:t>Proyecto VIS — Armenia</w:t>
            </w:r>
          </w:p>
          <w:p w14:paraId="165742A9" w14:textId="77777777" w:rsidR="00540A2D" w:rsidRDefault="00000000">
            <w:r>
              <w:rPr>
                <w:rFonts w:ascii="Arial" w:eastAsia="Arial" w:hAnsi="Arial" w:cs="Arial"/>
                <w:b/>
                <w:bCs/>
                <w:color w:val="0D1B2A"/>
                <w:sz w:val="15"/>
                <w:szCs w:val="15"/>
              </w:rPr>
              <w:t xml:space="preserve">Segmento: </w:t>
            </w:r>
            <w:r>
              <w:rPr>
                <w:rFonts w:ascii="Arial" w:eastAsia="Arial" w:hAnsi="Arial" w:cs="Arial"/>
                <w:color w:val="5A7A9A"/>
                <w:sz w:val="15"/>
                <w:szCs w:val="15"/>
              </w:rPr>
              <w:t xml:space="preserve">VIS   </w:t>
            </w:r>
            <w:r>
              <w:rPr>
                <w:rFonts w:ascii="Arial" w:eastAsia="Arial" w:hAnsi="Arial" w:cs="Arial"/>
                <w:b/>
                <w:bCs/>
                <w:color w:val="0D1B2A"/>
                <w:sz w:val="15"/>
                <w:szCs w:val="15"/>
              </w:rPr>
              <w:t xml:space="preserve">Licencia: </w:t>
            </w:r>
            <w:r>
              <w:rPr>
                <w:rFonts w:ascii="Arial" w:eastAsia="Arial" w:hAnsi="Arial" w:cs="Arial"/>
                <w:color w:val="5A7A9A"/>
                <w:sz w:val="15"/>
                <w:szCs w:val="15"/>
              </w:rPr>
              <w:t xml:space="preserve">Otorgada   </w:t>
            </w:r>
            <w:r>
              <w:rPr>
                <w:rFonts w:ascii="Arial" w:eastAsia="Arial" w:hAnsi="Arial" w:cs="Arial"/>
                <w:b/>
                <w:bCs/>
                <w:color w:val="0D1B2A"/>
                <w:sz w:val="15"/>
                <w:szCs w:val="15"/>
              </w:rPr>
              <w:t xml:space="preserve">Fiducia: </w:t>
            </w:r>
            <w:r>
              <w:rPr>
                <w:rFonts w:ascii="Arial" w:eastAsia="Arial" w:hAnsi="Arial" w:cs="Arial"/>
                <w:color w:val="5A7A9A"/>
                <w:sz w:val="15"/>
                <w:szCs w:val="15"/>
              </w:rPr>
              <w:t xml:space="preserve">Alianza Fiduciaria — Constituida   </w:t>
            </w:r>
            <w:r>
              <w:rPr>
                <w:rFonts w:ascii="Arial" w:eastAsia="Arial" w:hAnsi="Arial" w:cs="Arial"/>
                <w:b/>
                <w:bCs/>
                <w:color w:val="0D1B2A"/>
                <w:sz w:val="15"/>
                <w:szCs w:val="15"/>
              </w:rPr>
              <w:t xml:space="preserve">Cesión derechos: </w:t>
            </w:r>
            <w:r>
              <w:rPr>
                <w:rFonts w:ascii="Arial" w:eastAsia="Arial" w:hAnsi="Arial" w:cs="Arial"/>
                <w:color w:val="5A7A9A"/>
                <w:sz w:val="15"/>
                <w:szCs w:val="15"/>
              </w:rPr>
              <w:t xml:space="preserve">Suscrita   </w:t>
            </w:r>
            <w:r>
              <w:rPr>
                <w:rFonts w:ascii="Arial" w:eastAsia="Arial" w:hAnsi="Arial" w:cs="Arial"/>
                <w:b/>
                <w:bCs/>
                <w:color w:val="0D1B2A"/>
                <w:sz w:val="15"/>
                <w:szCs w:val="15"/>
              </w:rPr>
              <w:t xml:space="preserve">Estado: </w:t>
            </w:r>
            <w:r>
              <w:rPr>
                <w:rFonts w:ascii="Arial" w:eastAsia="Arial" w:hAnsi="Arial" w:cs="Arial"/>
                <w:color w:val="5A7A9A"/>
                <w:sz w:val="15"/>
                <w:szCs w:val="15"/>
              </w:rPr>
              <w:t>Licencia lista, fiducia activa</w:t>
            </w:r>
          </w:p>
        </w:tc>
      </w:tr>
    </w:tbl>
    <w:p w14:paraId="4FC64C34" w14:textId="77777777" w:rsidR="00540A2D" w:rsidRDefault="00540A2D">
      <w:pPr>
        <w:spacing w:after="3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540A2D" w14:paraId="25642AAF" w14:textId="77777777">
        <w:tblPrEx>
          <w:tblCellMar>
            <w:top w:w="0" w:type="dxa"/>
            <w:bottom w:w="0" w:type="dxa"/>
          </w:tblCellMar>
        </w:tblPrEx>
        <w:tc>
          <w:tcPr>
            <w:tcW w:w="9638" w:type="dxa"/>
            <w:tcBorders>
              <w:top w:val="none" w:sz="0" w:space="0" w:color="FFFFFF"/>
              <w:left w:val="single" w:sz="18" w:space="0" w:color="1E9CD7"/>
              <w:bottom w:val="none" w:sz="0" w:space="0" w:color="FFFFFF"/>
              <w:right w:val="none" w:sz="0" w:space="0" w:color="FFFFFF"/>
            </w:tcBorders>
            <w:shd w:val="clear" w:color="auto" w:fill="F0F7FC"/>
            <w:tcMar>
              <w:top w:w="80" w:type="dxa"/>
              <w:left w:w="220" w:type="dxa"/>
              <w:bottom w:w="80" w:type="dxa"/>
              <w:right w:w="180" w:type="dxa"/>
            </w:tcMar>
          </w:tcPr>
          <w:p w14:paraId="05663C17" w14:textId="77777777" w:rsidR="00540A2D" w:rsidRDefault="00000000">
            <w:pPr>
              <w:spacing w:after="30"/>
            </w:pPr>
            <w:r>
              <w:rPr>
                <w:rFonts w:ascii="Arial" w:eastAsia="Arial" w:hAnsi="Arial" w:cs="Arial"/>
                <w:b/>
                <w:bCs/>
                <w:color w:val="1E9CD7"/>
                <w:sz w:val="13"/>
                <w:szCs w:val="13"/>
              </w:rPr>
              <w:t>MANIZALES, CALDAS</w:t>
            </w:r>
          </w:p>
          <w:p w14:paraId="3E1BDFA0" w14:textId="77777777" w:rsidR="00540A2D" w:rsidRDefault="00000000">
            <w:pPr>
              <w:spacing w:after="60"/>
            </w:pPr>
            <w:r>
              <w:rPr>
                <w:rFonts w:ascii="Georgia" w:eastAsia="Georgia" w:hAnsi="Georgia" w:cs="Georgia"/>
                <w:b/>
                <w:bCs/>
                <w:color w:val="1A4B7A"/>
                <w:sz w:val="19"/>
                <w:szCs w:val="19"/>
              </w:rPr>
              <w:t>Proyecto VIS — Manizales</w:t>
            </w:r>
          </w:p>
          <w:p w14:paraId="4E5EC97A" w14:textId="77777777" w:rsidR="00540A2D" w:rsidRDefault="00000000">
            <w:r>
              <w:rPr>
                <w:rFonts w:ascii="Arial" w:eastAsia="Arial" w:hAnsi="Arial" w:cs="Arial"/>
                <w:b/>
                <w:bCs/>
                <w:color w:val="0D1B2A"/>
                <w:sz w:val="15"/>
                <w:szCs w:val="15"/>
              </w:rPr>
              <w:t xml:space="preserve">Segmento: </w:t>
            </w:r>
            <w:r>
              <w:rPr>
                <w:rFonts w:ascii="Arial" w:eastAsia="Arial" w:hAnsi="Arial" w:cs="Arial"/>
                <w:color w:val="5A7A9A"/>
                <w:sz w:val="15"/>
                <w:szCs w:val="15"/>
              </w:rPr>
              <w:t xml:space="preserve">VIS   </w:t>
            </w:r>
            <w:r>
              <w:rPr>
                <w:rFonts w:ascii="Arial" w:eastAsia="Arial" w:hAnsi="Arial" w:cs="Arial"/>
                <w:b/>
                <w:bCs/>
                <w:color w:val="0D1B2A"/>
                <w:sz w:val="15"/>
                <w:szCs w:val="15"/>
              </w:rPr>
              <w:t xml:space="preserve">Licencia: </w:t>
            </w:r>
            <w:r>
              <w:rPr>
                <w:rFonts w:ascii="Arial" w:eastAsia="Arial" w:hAnsi="Arial" w:cs="Arial"/>
                <w:color w:val="5A7A9A"/>
                <w:sz w:val="15"/>
                <w:szCs w:val="15"/>
              </w:rPr>
              <w:t xml:space="preserve">Otorgada   </w:t>
            </w:r>
            <w:r>
              <w:rPr>
                <w:rFonts w:ascii="Arial" w:eastAsia="Arial" w:hAnsi="Arial" w:cs="Arial"/>
                <w:b/>
                <w:bCs/>
                <w:color w:val="0D1B2A"/>
                <w:sz w:val="15"/>
                <w:szCs w:val="15"/>
              </w:rPr>
              <w:t xml:space="preserve">Fiducia: </w:t>
            </w:r>
            <w:r>
              <w:rPr>
                <w:rFonts w:ascii="Arial" w:eastAsia="Arial" w:hAnsi="Arial" w:cs="Arial"/>
                <w:color w:val="5A7A9A"/>
                <w:sz w:val="15"/>
                <w:szCs w:val="15"/>
              </w:rPr>
              <w:t xml:space="preserve">Constituida   </w:t>
            </w:r>
            <w:r>
              <w:rPr>
                <w:rFonts w:ascii="Arial" w:eastAsia="Arial" w:hAnsi="Arial" w:cs="Arial"/>
                <w:b/>
                <w:bCs/>
                <w:color w:val="0D1B2A"/>
                <w:sz w:val="15"/>
                <w:szCs w:val="15"/>
              </w:rPr>
              <w:t xml:space="preserve">Cesión derechos: </w:t>
            </w:r>
            <w:r>
              <w:rPr>
                <w:rFonts w:ascii="Arial" w:eastAsia="Arial" w:hAnsi="Arial" w:cs="Arial"/>
                <w:color w:val="5A7A9A"/>
                <w:sz w:val="15"/>
                <w:szCs w:val="15"/>
              </w:rPr>
              <w:t xml:space="preserve">Suscrita   </w:t>
            </w:r>
            <w:r>
              <w:rPr>
                <w:rFonts w:ascii="Arial" w:eastAsia="Arial" w:hAnsi="Arial" w:cs="Arial"/>
                <w:b/>
                <w:bCs/>
                <w:color w:val="0D1B2A"/>
                <w:sz w:val="15"/>
                <w:szCs w:val="15"/>
              </w:rPr>
              <w:t xml:space="preserve">Estado: </w:t>
            </w:r>
            <w:r>
              <w:rPr>
                <w:rFonts w:ascii="Arial" w:eastAsia="Arial" w:hAnsi="Arial" w:cs="Arial"/>
                <w:color w:val="5A7A9A"/>
                <w:sz w:val="15"/>
                <w:szCs w:val="15"/>
              </w:rPr>
              <w:t>Próximo a entrega Torre 1, repago parcial 10%</w:t>
            </w:r>
          </w:p>
        </w:tc>
      </w:tr>
    </w:tbl>
    <w:p w14:paraId="0EC63B7E" w14:textId="77777777" w:rsidR="00540A2D" w:rsidRDefault="00540A2D">
      <w:pPr>
        <w:spacing w:after="160"/>
      </w:pPr>
    </w:p>
    <w:p w14:paraId="65E501ED"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07  </w:t>
      </w:r>
      <w:r>
        <w:rPr>
          <w:rFonts w:ascii="Georgia" w:eastAsia="Georgia" w:hAnsi="Georgia" w:cs="Georgia"/>
          <w:b/>
          <w:bCs/>
          <w:color w:val="1A4B7A"/>
          <w:sz w:val="22"/>
          <w:szCs w:val="22"/>
        </w:rPr>
        <w:t>Estructura Jurídica y Protección del Capital</w:t>
      </w:r>
    </w:p>
    <w:p w14:paraId="1D87C0EF" w14:textId="77777777" w:rsidR="00540A2D" w:rsidRDefault="00540A2D">
      <w:pPr>
        <w:spacing w:after="40"/>
      </w:pPr>
    </w:p>
    <w:p w14:paraId="7C015083" w14:textId="77777777" w:rsidR="00540A2D" w:rsidRDefault="00000000">
      <w:pPr>
        <w:spacing w:before="40" w:after="60"/>
      </w:pPr>
      <w:r>
        <w:rPr>
          <w:rFonts w:ascii="Arial" w:eastAsia="Arial" w:hAnsi="Arial" w:cs="Arial"/>
          <w:color w:val="2A3F52"/>
          <w:sz w:val="17"/>
          <w:szCs w:val="17"/>
        </w:rPr>
        <w:t>El capital del fondo está protegido por cuatro capas estructurales en cada operación:</w:t>
      </w:r>
    </w:p>
    <w:p w14:paraId="597A9A90"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251"/>
        <w:gridCol w:w="3387"/>
      </w:tblGrid>
      <w:tr w:rsidR="00540A2D" w14:paraId="0C497477" w14:textId="77777777">
        <w:tblPrEx>
          <w:tblCellMar>
            <w:top w:w="0" w:type="dxa"/>
            <w:bottom w:w="0" w:type="dxa"/>
          </w:tblCellMar>
        </w:tblPrEx>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4F887295" w14:textId="77777777" w:rsidR="00540A2D" w:rsidRDefault="00000000">
            <w:pPr>
              <w:spacing w:after="40"/>
            </w:pPr>
            <w:r>
              <w:rPr>
                <w:rFonts w:ascii="Arial" w:eastAsia="Arial" w:hAnsi="Arial" w:cs="Arial"/>
                <w:b/>
                <w:bCs/>
                <w:color w:val="1A4B7A"/>
                <w:sz w:val="15"/>
                <w:szCs w:val="15"/>
              </w:rPr>
              <w:t>Patrimonio autónomo fiduciario</w:t>
            </w:r>
          </w:p>
          <w:p w14:paraId="40A0AA07" w14:textId="77777777" w:rsidR="00540A2D" w:rsidRDefault="00000000">
            <w:r>
              <w:rPr>
                <w:rFonts w:ascii="Arial" w:eastAsia="Arial" w:hAnsi="Arial" w:cs="Arial"/>
                <w:color w:val="2A3F52"/>
                <w:sz w:val="15"/>
                <w:szCs w:val="15"/>
              </w:rPr>
              <w:t>Capital en fideicomiso vigilado por la Superfinanciera (</w:t>
            </w:r>
            <w:proofErr w:type="spellStart"/>
            <w:r>
              <w:rPr>
                <w:rFonts w:ascii="Arial" w:eastAsia="Arial" w:hAnsi="Arial" w:cs="Arial"/>
                <w:color w:val="2A3F52"/>
                <w:sz w:val="15"/>
                <w:szCs w:val="15"/>
              </w:rPr>
              <w:t>FiduAval</w:t>
            </w:r>
            <w:proofErr w:type="spellEnd"/>
            <w:r>
              <w:rPr>
                <w:rFonts w:ascii="Arial" w:eastAsia="Arial" w:hAnsi="Arial" w:cs="Arial"/>
                <w:color w:val="2A3F52"/>
                <w:sz w:val="15"/>
                <w:szCs w:val="15"/>
              </w:rPr>
              <w:t xml:space="preserve"> / Acción Fiduciaria / </w:t>
            </w:r>
            <w:proofErr w:type="spellStart"/>
            <w:r>
              <w:rPr>
                <w:rFonts w:ascii="Arial" w:eastAsia="Arial" w:hAnsi="Arial" w:cs="Arial"/>
                <w:color w:val="2A3F52"/>
                <w:sz w:val="15"/>
                <w:szCs w:val="15"/>
              </w:rPr>
              <w:t>Fiducolombia</w:t>
            </w:r>
            <w:proofErr w:type="spellEnd"/>
            <w:r>
              <w:rPr>
                <w:rFonts w:ascii="Arial" w:eastAsia="Arial" w:hAnsi="Arial" w:cs="Arial"/>
                <w:color w:val="2A3F52"/>
                <w:sz w:val="15"/>
                <w:szCs w:val="15"/>
              </w:rPr>
              <w:t xml:space="preserve"> / Alianza Fiduciaria). Ningún giro ocurre sin cumplir los hitos contractuales.</w:t>
            </w:r>
          </w:p>
        </w:tc>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6EA79798" w14:textId="77777777" w:rsidR="00540A2D" w:rsidRDefault="00000000">
            <w:pPr>
              <w:spacing w:after="40"/>
            </w:pPr>
            <w:r>
              <w:rPr>
                <w:rFonts w:ascii="Arial" w:eastAsia="Arial" w:hAnsi="Arial" w:cs="Arial"/>
                <w:b/>
                <w:bCs/>
                <w:color w:val="1A4B7A"/>
                <w:sz w:val="15"/>
                <w:szCs w:val="15"/>
              </w:rPr>
              <w:t>Posición como fideicomitente beneficiario</w:t>
            </w:r>
          </w:p>
          <w:p w14:paraId="2E6FA63E" w14:textId="77777777" w:rsidR="00540A2D" w:rsidRDefault="00000000">
            <w:r>
              <w:rPr>
                <w:rFonts w:ascii="Arial" w:eastAsia="Arial" w:hAnsi="Arial" w:cs="Arial"/>
                <w:color w:val="2A3F52"/>
                <w:sz w:val="15"/>
                <w:szCs w:val="15"/>
              </w:rPr>
              <w:t>El fondo entra como fideicomitente beneficiario de pago de lote y utilidad del lote. Todas las instrucciones de giro requieren su aprobación explícita.</w:t>
            </w:r>
          </w:p>
        </w:tc>
      </w:tr>
      <w:tr w:rsidR="00540A2D" w14:paraId="690495D4" w14:textId="77777777">
        <w:tblPrEx>
          <w:tblCellMar>
            <w:top w:w="0" w:type="dxa"/>
            <w:bottom w:w="0" w:type="dxa"/>
          </w:tblCellMar>
        </w:tblPrEx>
        <w:trPr>
          <w:gridAfter w:val="1"/>
          <w:wAfter w:w="4819" w:type="dxa"/>
        </w:trPr>
        <w:tc>
          <w:tcPr>
            <w:tcW w:w="9638" w:type="dxa"/>
            <w:tcBorders>
              <w:top w:val="none" w:sz="0" w:space="0" w:color="FFFFFF"/>
              <w:left w:val="none" w:sz="0" w:space="0" w:color="FFFFFF"/>
              <w:bottom w:val="none" w:sz="0" w:space="0" w:color="FFFFFF"/>
              <w:right w:val="none" w:sz="0" w:space="0" w:color="FFFFFF"/>
            </w:tcBorders>
          </w:tcPr>
          <w:p w14:paraId="7905A7D5" w14:textId="77777777" w:rsidR="00540A2D" w:rsidRDefault="00540A2D">
            <w:pPr>
              <w:spacing w:after="40"/>
            </w:pPr>
          </w:p>
        </w:tc>
      </w:tr>
      <w:tr w:rsidR="00540A2D" w14:paraId="56190340" w14:textId="77777777">
        <w:tblPrEx>
          <w:tblCellMar>
            <w:top w:w="0" w:type="dxa"/>
            <w:bottom w:w="0" w:type="dxa"/>
          </w:tblCellMar>
        </w:tblPrEx>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6FF4E52B" w14:textId="77777777" w:rsidR="00540A2D" w:rsidRDefault="00000000">
            <w:pPr>
              <w:spacing w:after="40"/>
            </w:pPr>
            <w:r>
              <w:rPr>
                <w:rFonts w:ascii="Arial" w:eastAsia="Arial" w:hAnsi="Arial" w:cs="Arial"/>
                <w:b/>
                <w:bCs/>
                <w:color w:val="1A4B7A"/>
                <w:sz w:val="15"/>
                <w:szCs w:val="15"/>
              </w:rPr>
              <w:t>Cesión de derechos económicos</w:t>
            </w:r>
          </w:p>
          <w:p w14:paraId="210885D4" w14:textId="77777777" w:rsidR="00540A2D" w:rsidRDefault="00000000">
            <w:r>
              <w:rPr>
                <w:rFonts w:ascii="Arial" w:eastAsia="Arial" w:hAnsi="Arial" w:cs="Arial"/>
                <w:color w:val="2A3F52"/>
                <w:sz w:val="15"/>
                <w:szCs w:val="15"/>
              </w:rPr>
              <w:t>El constructor cede al fondo los derechos sobre flujos del proyecto: ventas, subsidios y desembolsos. Oponible a terceros mediante notificación y aceptación de la fiducia.</w:t>
            </w:r>
          </w:p>
        </w:tc>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5F02DC5F" w14:textId="77777777" w:rsidR="00540A2D" w:rsidRDefault="00000000">
            <w:pPr>
              <w:spacing w:after="40"/>
            </w:pPr>
            <w:r>
              <w:rPr>
                <w:rFonts w:ascii="Arial" w:eastAsia="Arial" w:hAnsi="Arial" w:cs="Arial"/>
                <w:b/>
                <w:bCs/>
                <w:color w:val="1A4B7A"/>
                <w:sz w:val="15"/>
                <w:szCs w:val="15"/>
              </w:rPr>
              <w:t>Garantía real — el lote</w:t>
            </w:r>
          </w:p>
          <w:p w14:paraId="0BCD17DC" w14:textId="77777777" w:rsidR="00540A2D" w:rsidRDefault="00000000">
            <w:r>
              <w:rPr>
                <w:rFonts w:ascii="Arial" w:eastAsia="Arial" w:hAnsi="Arial" w:cs="Arial"/>
                <w:color w:val="2A3F52"/>
                <w:sz w:val="15"/>
                <w:szCs w:val="15"/>
              </w:rPr>
              <w:t>Si el proyecto no alcanza el punto de equilibrio, se aplica la cláusula resolutoria: el fondo conserva el lote, cuyo valor representa ~2x la inversión inicial.</w:t>
            </w:r>
          </w:p>
        </w:tc>
      </w:tr>
    </w:tbl>
    <w:p w14:paraId="189E8E29" w14:textId="77777777" w:rsidR="00540A2D" w:rsidRDefault="00540A2D">
      <w:pPr>
        <w:spacing w:after="80"/>
      </w:pPr>
    </w:p>
    <w:p w14:paraId="15C0818E" w14:textId="77777777" w:rsidR="00540A2D" w:rsidRDefault="00000000">
      <w:pPr>
        <w:spacing w:before="40" w:after="60"/>
      </w:pPr>
      <w:r>
        <w:rPr>
          <w:rFonts w:ascii="Arial" w:eastAsia="Arial" w:hAnsi="Arial" w:cs="Arial"/>
          <w:b/>
          <w:bCs/>
          <w:color w:val="2A3F52"/>
          <w:sz w:val="17"/>
          <w:szCs w:val="17"/>
        </w:rPr>
        <w:t>Orden de pago (</w:t>
      </w:r>
      <w:proofErr w:type="spellStart"/>
      <w:r>
        <w:rPr>
          <w:rFonts w:ascii="Arial" w:eastAsia="Arial" w:hAnsi="Arial" w:cs="Arial"/>
          <w:b/>
          <w:bCs/>
          <w:color w:val="2A3F52"/>
          <w:sz w:val="17"/>
          <w:szCs w:val="17"/>
        </w:rPr>
        <w:t>Waterfall</w:t>
      </w:r>
      <w:proofErr w:type="spellEnd"/>
      <w:r>
        <w:rPr>
          <w:rFonts w:ascii="Arial" w:eastAsia="Arial" w:hAnsi="Arial" w:cs="Arial"/>
          <w:b/>
          <w:bCs/>
          <w:color w:val="2A3F52"/>
          <w:sz w:val="17"/>
          <w:szCs w:val="17"/>
        </w:rPr>
        <w:t>) al activarse el crédito constructor:</w:t>
      </w:r>
    </w:p>
    <w:p w14:paraId="1536E314" w14:textId="77777777" w:rsidR="00540A2D" w:rsidRDefault="00540A2D">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0"/>
        <w:gridCol w:w="9138"/>
      </w:tblGrid>
      <w:tr w:rsidR="00540A2D" w14:paraId="5B64CF00" w14:textId="77777777">
        <w:tblPrEx>
          <w:tblCellMar>
            <w:top w:w="0" w:type="dxa"/>
            <w:bottom w:w="0" w:type="dxa"/>
          </w:tblCellMar>
        </w:tblPrEx>
        <w:tc>
          <w:tcPr>
            <w:tcW w:w="500" w:type="dxa"/>
            <w:tcBorders>
              <w:top w:val="none" w:sz="0" w:space="0" w:color="FFFFFF"/>
              <w:left w:val="single" w:sz="16" w:space="0" w:color="1E9CD7"/>
              <w:bottom w:val="none" w:sz="0" w:space="0" w:color="FFFFFF"/>
              <w:right w:val="none" w:sz="0" w:space="0" w:color="FFFFFF"/>
            </w:tcBorders>
            <w:shd w:val="clear" w:color="auto" w:fill="F0F7FC"/>
            <w:tcMar>
              <w:top w:w="80" w:type="dxa"/>
              <w:left w:w="160" w:type="dxa"/>
              <w:bottom w:w="80" w:type="dxa"/>
              <w:right w:w="100" w:type="dxa"/>
            </w:tcMar>
            <w:vAlign w:val="center"/>
          </w:tcPr>
          <w:p w14:paraId="75B23C78" w14:textId="77777777" w:rsidR="00540A2D" w:rsidRDefault="00000000">
            <w:pPr>
              <w:jc w:val="center"/>
            </w:pPr>
            <w:r>
              <w:rPr>
                <w:rFonts w:ascii="Georgia" w:eastAsia="Georgia" w:hAnsi="Georgia" w:cs="Georgia"/>
                <w:b/>
                <w:bCs/>
                <w:color w:val="1E9CD7"/>
                <w:sz w:val="24"/>
                <w:szCs w:val="24"/>
              </w:rPr>
              <w:t>1°</w:t>
            </w:r>
          </w:p>
        </w:tc>
        <w:tc>
          <w:tcPr>
            <w:tcW w:w="9138" w:type="dxa"/>
            <w:tcBorders>
              <w:top w:val="none" w:sz="0" w:space="0" w:color="FFFFFF"/>
              <w:left w:val="none" w:sz="0" w:space="0" w:color="FFFFFF"/>
              <w:bottom w:val="single" w:sz="3" w:space="0" w:color="B8D4E8"/>
              <w:right w:val="none" w:sz="0" w:space="0" w:color="FFFFFF"/>
            </w:tcBorders>
            <w:shd w:val="clear" w:color="auto" w:fill="F0F7FC"/>
            <w:tcMar>
              <w:top w:w="80" w:type="dxa"/>
              <w:left w:w="140" w:type="dxa"/>
              <w:bottom w:w="80" w:type="dxa"/>
              <w:right w:w="160" w:type="dxa"/>
            </w:tcMar>
          </w:tcPr>
          <w:p w14:paraId="51C6CF5D" w14:textId="77777777" w:rsidR="00540A2D" w:rsidRDefault="00000000">
            <w:pPr>
              <w:spacing w:after="30"/>
            </w:pPr>
            <w:r>
              <w:rPr>
                <w:rFonts w:ascii="Arial" w:eastAsia="Arial" w:hAnsi="Arial" w:cs="Arial"/>
                <w:b/>
                <w:bCs/>
                <w:color w:val="1A4B7A"/>
                <w:sz w:val="16"/>
                <w:szCs w:val="16"/>
              </w:rPr>
              <w:t>Gastos fiduciarios y de administración</w:t>
            </w:r>
          </w:p>
          <w:p w14:paraId="530E01B8" w14:textId="77777777" w:rsidR="00540A2D" w:rsidRDefault="00000000">
            <w:r>
              <w:rPr>
                <w:rFonts w:ascii="Arial" w:eastAsia="Arial" w:hAnsi="Arial" w:cs="Arial"/>
                <w:color w:val="5A7A9A"/>
                <w:sz w:val="14"/>
                <w:szCs w:val="14"/>
              </w:rPr>
              <w:t>Costos operativos del patrimonio autónomo</w:t>
            </w:r>
          </w:p>
        </w:tc>
      </w:tr>
    </w:tbl>
    <w:p w14:paraId="45662710" w14:textId="77777777" w:rsidR="00540A2D" w:rsidRDefault="00540A2D">
      <w:pPr>
        <w:spacing w:after="16"/>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12"/>
        <w:gridCol w:w="9126"/>
      </w:tblGrid>
      <w:tr w:rsidR="00540A2D" w14:paraId="16189E3F" w14:textId="77777777">
        <w:tblPrEx>
          <w:tblCellMar>
            <w:top w:w="0" w:type="dxa"/>
            <w:bottom w:w="0" w:type="dxa"/>
          </w:tblCellMar>
        </w:tblPrEx>
        <w:tc>
          <w:tcPr>
            <w:tcW w:w="500" w:type="dxa"/>
            <w:tcBorders>
              <w:top w:val="none" w:sz="0" w:space="0" w:color="FFFFFF"/>
              <w:left w:val="single" w:sz="16" w:space="0" w:color="1E9CD7"/>
              <w:bottom w:val="none" w:sz="0" w:space="0" w:color="FFFFFF"/>
              <w:right w:val="none" w:sz="0" w:space="0" w:color="FFFFFF"/>
            </w:tcBorders>
            <w:shd w:val="clear" w:color="auto" w:fill="1E9CD7"/>
            <w:tcMar>
              <w:top w:w="80" w:type="dxa"/>
              <w:left w:w="160" w:type="dxa"/>
              <w:bottom w:w="80" w:type="dxa"/>
              <w:right w:w="100" w:type="dxa"/>
            </w:tcMar>
            <w:vAlign w:val="center"/>
          </w:tcPr>
          <w:p w14:paraId="7AF57883" w14:textId="77777777" w:rsidR="00540A2D" w:rsidRDefault="00000000">
            <w:pPr>
              <w:jc w:val="center"/>
            </w:pPr>
            <w:r>
              <w:rPr>
                <w:rFonts w:ascii="Georgia" w:eastAsia="Georgia" w:hAnsi="Georgia" w:cs="Georgia"/>
                <w:b/>
                <w:bCs/>
                <w:color w:val="1A4B7A"/>
                <w:sz w:val="24"/>
                <w:szCs w:val="24"/>
              </w:rPr>
              <w:t>2°</w:t>
            </w:r>
          </w:p>
        </w:tc>
        <w:tc>
          <w:tcPr>
            <w:tcW w:w="9138" w:type="dxa"/>
            <w:tcBorders>
              <w:top w:val="none" w:sz="0" w:space="0" w:color="FFFFFF"/>
              <w:left w:val="none" w:sz="0" w:space="0" w:color="FFFFFF"/>
              <w:bottom w:val="single" w:sz="3" w:space="0" w:color="B8D4E8"/>
              <w:right w:val="none" w:sz="0" w:space="0" w:color="FFFFFF"/>
            </w:tcBorders>
            <w:shd w:val="clear" w:color="auto" w:fill="DEE8F8"/>
            <w:tcMar>
              <w:top w:w="80" w:type="dxa"/>
              <w:left w:w="140" w:type="dxa"/>
              <w:bottom w:w="80" w:type="dxa"/>
              <w:right w:w="160" w:type="dxa"/>
            </w:tcMar>
          </w:tcPr>
          <w:p w14:paraId="361D226A" w14:textId="77777777" w:rsidR="00540A2D" w:rsidRDefault="00000000">
            <w:pPr>
              <w:spacing w:after="30"/>
            </w:pPr>
            <w:r>
              <w:rPr>
                <w:rFonts w:ascii="Arial" w:eastAsia="Arial" w:hAnsi="Arial" w:cs="Arial"/>
                <w:b/>
                <w:bCs/>
                <w:color w:val="1A4B7A"/>
                <w:sz w:val="16"/>
                <w:szCs w:val="16"/>
              </w:rPr>
              <w:t>Repago del capital principal al fondo (100%)</w:t>
            </w:r>
          </w:p>
          <w:p w14:paraId="16BE1AD8" w14:textId="77777777" w:rsidR="00540A2D" w:rsidRDefault="00000000">
            <w:r>
              <w:rPr>
                <w:rFonts w:ascii="Arial" w:eastAsia="Arial" w:hAnsi="Arial" w:cs="Arial"/>
                <w:color w:val="5A7A9A"/>
                <w:sz w:val="14"/>
                <w:szCs w:val="14"/>
              </w:rPr>
              <w:t>Devolución íntegra antes de cualquier distribución</w:t>
            </w:r>
          </w:p>
        </w:tc>
      </w:tr>
    </w:tbl>
    <w:p w14:paraId="497B9F31" w14:textId="77777777" w:rsidR="00540A2D" w:rsidRDefault="00540A2D">
      <w:pPr>
        <w:spacing w:after="16"/>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11"/>
        <w:gridCol w:w="9127"/>
      </w:tblGrid>
      <w:tr w:rsidR="00540A2D" w14:paraId="37A59035" w14:textId="77777777">
        <w:tblPrEx>
          <w:tblCellMar>
            <w:top w:w="0" w:type="dxa"/>
            <w:bottom w:w="0" w:type="dxa"/>
          </w:tblCellMar>
        </w:tblPrEx>
        <w:tc>
          <w:tcPr>
            <w:tcW w:w="500" w:type="dxa"/>
            <w:tcBorders>
              <w:top w:val="none" w:sz="0" w:space="0" w:color="FFFFFF"/>
              <w:left w:val="single" w:sz="16" w:space="0" w:color="1E9CD7"/>
              <w:bottom w:val="none" w:sz="0" w:space="0" w:color="FFFFFF"/>
              <w:right w:val="none" w:sz="0" w:space="0" w:color="FFFFFF"/>
            </w:tcBorders>
            <w:shd w:val="clear" w:color="auto" w:fill="1E9CD7"/>
            <w:tcMar>
              <w:top w:w="80" w:type="dxa"/>
              <w:left w:w="160" w:type="dxa"/>
              <w:bottom w:w="80" w:type="dxa"/>
              <w:right w:w="100" w:type="dxa"/>
            </w:tcMar>
            <w:vAlign w:val="center"/>
          </w:tcPr>
          <w:p w14:paraId="2696FF82" w14:textId="77777777" w:rsidR="00540A2D" w:rsidRDefault="00000000">
            <w:pPr>
              <w:jc w:val="center"/>
            </w:pPr>
            <w:r>
              <w:rPr>
                <w:rFonts w:ascii="Georgia" w:eastAsia="Georgia" w:hAnsi="Georgia" w:cs="Georgia"/>
                <w:b/>
                <w:bCs/>
                <w:color w:val="1A4B7A"/>
                <w:sz w:val="24"/>
                <w:szCs w:val="24"/>
              </w:rPr>
              <w:t>3°</w:t>
            </w:r>
          </w:p>
        </w:tc>
        <w:tc>
          <w:tcPr>
            <w:tcW w:w="9138" w:type="dxa"/>
            <w:tcBorders>
              <w:top w:val="none" w:sz="0" w:space="0" w:color="FFFFFF"/>
              <w:left w:val="none" w:sz="0" w:space="0" w:color="FFFFFF"/>
              <w:bottom w:val="single" w:sz="3" w:space="0" w:color="B8D4E8"/>
              <w:right w:val="none" w:sz="0" w:space="0" w:color="FFFFFF"/>
            </w:tcBorders>
            <w:shd w:val="clear" w:color="auto" w:fill="DEE8F8"/>
            <w:tcMar>
              <w:top w:w="80" w:type="dxa"/>
              <w:left w:w="140" w:type="dxa"/>
              <w:bottom w:w="80" w:type="dxa"/>
              <w:right w:w="160" w:type="dxa"/>
            </w:tcMar>
          </w:tcPr>
          <w:p w14:paraId="09D4D680" w14:textId="77777777" w:rsidR="00540A2D" w:rsidRDefault="00000000">
            <w:pPr>
              <w:spacing w:after="30"/>
            </w:pPr>
            <w:r>
              <w:rPr>
                <w:rFonts w:ascii="Arial" w:eastAsia="Arial" w:hAnsi="Arial" w:cs="Arial"/>
                <w:b/>
                <w:bCs/>
                <w:color w:val="1A4B7A"/>
                <w:sz w:val="16"/>
                <w:szCs w:val="16"/>
              </w:rPr>
              <w:t>Rendimiento preferente al fondo (~28% E.A. base)</w:t>
            </w:r>
          </w:p>
          <w:p w14:paraId="4535AFC9" w14:textId="77777777" w:rsidR="00540A2D" w:rsidRDefault="00000000">
            <w:r>
              <w:rPr>
                <w:rFonts w:ascii="Arial" w:eastAsia="Arial" w:hAnsi="Arial" w:cs="Arial"/>
                <w:color w:val="5A7A9A"/>
                <w:sz w:val="14"/>
                <w:szCs w:val="14"/>
              </w:rPr>
              <w:t>Retorno sobre capital y tiempo real del ciclo</w:t>
            </w:r>
          </w:p>
        </w:tc>
      </w:tr>
    </w:tbl>
    <w:p w14:paraId="659A0117" w14:textId="77777777" w:rsidR="00540A2D" w:rsidRDefault="00540A2D">
      <w:pPr>
        <w:spacing w:after="16"/>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17"/>
        <w:gridCol w:w="9121"/>
      </w:tblGrid>
      <w:tr w:rsidR="00540A2D" w14:paraId="47072840" w14:textId="77777777">
        <w:tblPrEx>
          <w:tblCellMar>
            <w:top w:w="0" w:type="dxa"/>
            <w:bottom w:w="0" w:type="dxa"/>
          </w:tblCellMar>
        </w:tblPrEx>
        <w:tc>
          <w:tcPr>
            <w:tcW w:w="500" w:type="dxa"/>
            <w:tcBorders>
              <w:top w:val="none" w:sz="0" w:space="0" w:color="FFFFFF"/>
              <w:left w:val="single" w:sz="16" w:space="0" w:color="1E9CD7"/>
              <w:bottom w:val="none" w:sz="0" w:space="0" w:color="FFFFFF"/>
              <w:right w:val="none" w:sz="0" w:space="0" w:color="FFFFFF"/>
            </w:tcBorders>
            <w:shd w:val="clear" w:color="auto" w:fill="F0F7FC"/>
            <w:tcMar>
              <w:top w:w="80" w:type="dxa"/>
              <w:left w:w="160" w:type="dxa"/>
              <w:bottom w:w="80" w:type="dxa"/>
              <w:right w:w="100" w:type="dxa"/>
            </w:tcMar>
            <w:vAlign w:val="center"/>
          </w:tcPr>
          <w:p w14:paraId="6028C644" w14:textId="77777777" w:rsidR="00540A2D" w:rsidRDefault="00000000">
            <w:pPr>
              <w:jc w:val="center"/>
            </w:pPr>
            <w:r>
              <w:rPr>
                <w:rFonts w:ascii="Georgia" w:eastAsia="Georgia" w:hAnsi="Georgia" w:cs="Georgia"/>
                <w:b/>
                <w:bCs/>
                <w:color w:val="1E9CD7"/>
                <w:sz w:val="24"/>
                <w:szCs w:val="24"/>
              </w:rPr>
              <w:t>4°</w:t>
            </w:r>
          </w:p>
        </w:tc>
        <w:tc>
          <w:tcPr>
            <w:tcW w:w="9138" w:type="dxa"/>
            <w:tcBorders>
              <w:top w:val="none" w:sz="0" w:space="0" w:color="FFFFFF"/>
              <w:left w:val="none" w:sz="0" w:space="0" w:color="FFFFFF"/>
              <w:bottom w:val="single" w:sz="3" w:space="0" w:color="B8D4E8"/>
              <w:right w:val="none" w:sz="0" w:space="0" w:color="FFFFFF"/>
            </w:tcBorders>
            <w:shd w:val="clear" w:color="auto" w:fill="F0F7FC"/>
            <w:tcMar>
              <w:top w:w="80" w:type="dxa"/>
              <w:left w:w="140" w:type="dxa"/>
              <w:bottom w:w="80" w:type="dxa"/>
              <w:right w:w="160" w:type="dxa"/>
            </w:tcMar>
          </w:tcPr>
          <w:p w14:paraId="174B02A9" w14:textId="77777777" w:rsidR="00540A2D" w:rsidRDefault="00000000">
            <w:pPr>
              <w:spacing w:after="30"/>
            </w:pPr>
            <w:proofErr w:type="spellStart"/>
            <w:r>
              <w:rPr>
                <w:rFonts w:ascii="Arial" w:eastAsia="Arial" w:hAnsi="Arial" w:cs="Arial"/>
                <w:b/>
                <w:bCs/>
                <w:color w:val="1A4B7A"/>
                <w:sz w:val="16"/>
                <w:szCs w:val="16"/>
              </w:rPr>
              <w:t>Carry</w:t>
            </w:r>
            <w:proofErr w:type="spellEnd"/>
            <w:r>
              <w:rPr>
                <w:rFonts w:ascii="Arial" w:eastAsia="Arial" w:hAnsi="Arial" w:cs="Arial"/>
                <w:b/>
                <w:bCs/>
                <w:color w:val="1A4B7A"/>
                <w:sz w:val="16"/>
                <w:szCs w:val="16"/>
              </w:rPr>
              <w:t xml:space="preserve"> de COMFICOL — 20% del exceso sobre TIR base</w:t>
            </w:r>
          </w:p>
          <w:p w14:paraId="33B1CCB6" w14:textId="77777777" w:rsidR="00540A2D" w:rsidRDefault="00000000">
            <w:r>
              <w:rPr>
                <w:rFonts w:ascii="Arial" w:eastAsia="Arial" w:hAnsi="Arial" w:cs="Arial"/>
                <w:color w:val="5A7A9A"/>
                <w:sz w:val="14"/>
                <w:szCs w:val="14"/>
              </w:rPr>
              <w:t>Solo se activa después de que el fondo cobró capital + retorno completo</w:t>
            </w:r>
          </w:p>
        </w:tc>
      </w:tr>
    </w:tbl>
    <w:p w14:paraId="789FF9AF" w14:textId="77777777" w:rsidR="00540A2D" w:rsidRDefault="00540A2D">
      <w:pPr>
        <w:spacing w:after="16"/>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5"/>
        <w:gridCol w:w="9133"/>
      </w:tblGrid>
      <w:tr w:rsidR="00540A2D" w14:paraId="601A7A35" w14:textId="77777777">
        <w:tblPrEx>
          <w:tblCellMar>
            <w:top w:w="0" w:type="dxa"/>
            <w:bottom w:w="0" w:type="dxa"/>
          </w:tblCellMar>
        </w:tblPrEx>
        <w:tc>
          <w:tcPr>
            <w:tcW w:w="500" w:type="dxa"/>
            <w:tcBorders>
              <w:top w:val="none" w:sz="0" w:space="0" w:color="FFFFFF"/>
              <w:left w:val="single" w:sz="16" w:space="0" w:color="1E9CD7"/>
              <w:bottom w:val="none" w:sz="0" w:space="0" w:color="FFFFFF"/>
              <w:right w:val="none" w:sz="0" w:space="0" w:color="FFFFFF"/>
            </w:tcBorders>
            <w:shd w:val="clear" w:color="auto" w:fill="F0F7FC"/>
            <w:tcMar>
              <w:top w:w="80" w:type="dxa"/>
              <w:left w:w="160" w:type="dxa"/>
              <w:bottom w:w="80" w:type="dxa"/>
              <w:right w:w="100" w:type="dxa"/>
            </w:tcMar>
            <w:vAlign w:val="center"/>
          </w:tcPr>
          <w:p w14:paraId="2C3AB7FF" w14:textId="77777777" w:rsidR="00540A2D" w:rsidRDefault="00000000">
            <w:pPr>
              <w:jc w:val="center"/>
            </w:pPr>
            <w:r>
              <w:rPr>
                <w:rFonts w:ascii="Georgia" w:eastAsia="Georgia" w:hAnsi="Georgia" w:cs="Georgia"/>
                <w:b/>
                <w:bCs/>
                <w:color w:val="1E9CD7"/>
                <w:sz w:val="24"/>
                <w:szCs w:val="24"/>
              </w:rPr>
              <w:t>5°</w:t>
            </w:r>
          </w:p>
        </w:tc>
        <w:tc>
          <w:tcPr>
            <w:tcW w:w="9138" w:type="dxa"/>
            <w:tcBorders>
              <w:top w:val="none" w:sz="0" w:space="0" w:color="FFFFFF"/>
              <w:left w:val="none" w:sz="0" w:space="0" w:color="FFFFFF"/>
              <w:bottom w:val="single" w:sz="3" w:space="0" w:color="B8D4E8"/>
              <w:right w:val="none" w:sz="0" w:space="0" w:color="FFFFFF"/>
            </w:tcBorders>
            <w:shd w:val="clear" w:color="auto" w:fill="F0F7FC"/>
            <w:tcMar>
              <w:top w:w="80" w:type="dxa"/>
              <w:left w:w="140" w:type="dxa"/>
              <w:bottom w:w="80" w:type="dxa"/>
              <w:right w:w="160" w:type="dxa"/>
            </w:tcMar>
          </w:tcPr>
          <w:p w14:paraId="63B16A35" w14:textId="77777777" w:rsidR="00540A2D" w:rsidRDefault="00000000">
            <w:pPr>
              <w:spacing w:after="30"/>
            </w:pPr>
            <w:r>
              <w:rPr>
                <w:rFonts w:ascii="Arial" w:eastAsia="Arial" w:hAnsi="Arial" w:cs="Arial"/>
                <w:b/>
                <w:bCs/>
                <w:color w:val="1A4B7A"/>
                <w:sz w:val="16"/>
                <w:szCs w:val="16"/>
              </w:rPr>
              <w:t>Excedentes al constructor</w:t>
            </w:r>
          </w:p>
          <w:p w14:paraId="2844526A" w14:textId="77777777" w:rsidR="00540A2D" w:rsidRDefault="00000000">
            <w:r>
              <w:rPr>
                <w:rFonts w:ascii="Arial" w:eastAsia="Arial" w:hAnsi="Arial" w:cs="Arial"/>
                <w:color w:val="5A7A9A"/>
                <w:sz w:val="14"/>
                <w:szCs w:val="14"/>
              </w:rPr>
              <w:t>El constructor recibe lo que queda tras satisfacer al fondo y a COMFICOL</w:t>
            </w:r>
          </w:p>
        </w:tc>
      </w:tr>
    </w:tbl>
    <w:p w14:paraId="72CF2AF4" w14:textId="77777777" w:rsidR="00540A2D" w:rsidRDefault="00540A2D">
      <w:pPr>
        <w:spacing w:after="160"/>
      </w:pPr>
    </w:p>
    <w:p w14:paraId="10AFBB78"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08  </w:t>
      </w:r>
      <w:r>
        <w:rPr>
          <w:rFonts w:ascii="Georgia" w:eastAsia="Georgia" w:hAnsi="Georgia" w:cs="Georgia"/>
          <w:b/>
          <w:bCs/>
          <w:color w:val="1A4B7A"/>
          <w:sz w:val="22"/>
          <w:szCs w:val="22"/>
        </w:rPr>
        <w:t>¿Por qué COMFICOL? La Ventaja Competitiva</w:t>
      </w:r>
    </w:p>
    <w:p w14:paraId="40B7A291" w14:textId="77777777" w:rsidR="00540A2D" w:rsidRDefault="00540A2D">
      <w:pPr>
        <w:spacing w:after="40"/>
      </w:pPr>
    </w:p>
    <w:p w14:paraId="5FE46273" w14:textId="77777777" w:rsidR="00540A2D" w:rsidRDefault="00000000">
      <w:pPr>
        <w:spacing w:before="40" w:after="60"/>
      </w:pPr>
      <w:r>
        <w:rPr>
          <w:rFonts w:ascii="Arial" w:eastAsia="Arial" w:hAnsi="Arial" w:cs="Arial"/>
          <w:color w:val="2A3F52"/>
          <w:sz w:val="17"/>
          <w:szCs w:val="17"/>
        </w:rPr>
        <w:t>En Colombia existen actores que participan parcialmente en este espacio, pero ninguno integra de forma consistente las capacidades que requiere esta etapa:</w:t>
      </w:r>
    </w:p>
    <w:p w14:paraId="57A1C472"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300"/>
        <w:gridCol w:w="1300"/>
        <w:gridCol w:w="1300"/>
        <w:gridCol w:w="3338"/>
      </w:tblGrid>
      <w:tr w:rsidR="00540A2D" w14:paraId="6A3889E4" w14:textId="77777777">
        <w:tblPrEx>
          <w:tblCellMar>
            <w:top w:w="0" w:type="dxa"/>
            <w:bottom w:w="0" w:type="dxa"/>
          </w:tblCellMar>
        </w:tblPrEx>
        <w:tc>
          <w:tcPr>
            <w:tcW w:w="24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73FA2E1D" w14:textId="77777777" w:rsidR="00540A2D" w:rsidRDefault="00000000">
            <w:r>
              <w:rPr>
                <w:rFonts w:ascii="Arial" w:eastAsia="Arial" w:hAnsi="Arial" w:cs="Arial"/>
                <w:b/>
                <w:bCs/>
                <w:color w:val="FFFFFF"/>
                <w:sz w:val="13"/>
                <w:szCs w:val="13"/>
              </w:rPr>
              <w:t>Actor</w:t>
            </w:r>
          </w:p>
        </w:tc>
        <w:tc>
          <w:tcPr>
            <w:tcW w:w="13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5FC81388" w14:textId="77777777" w:rsidR="00540A2D" w:rsidRDefault="00000000">
            <w:pPr>
              <w:jc w:val="center"/>
            </w:pPr>
            <w:r>
              <w:rPr>
                <w:rFonts w:ascii="Arial" w:eastAsia="Arial" w:hAnsi="Arial" w:cs="Arial"/>
                <w:b/>
                <w:bCs/>
                <w:color w:val="FFFFFF"/>
                <w:sz w:val="13"/>
                <w:szCs w:val="13"/>
              </w:rPr>
              <w:t>Origina</w:t>
            </w:r>
          </w:p>
        </w:tc>
        <w:tc>
          <w:tcPr>
            <w:tcW w:w="13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19A23222" w14:textId="77777777" w:rsidR="00540A2D" w:rsidRDefault="00000000">
            <w:pPr>
              <w:jc w:val="center"/>
            </w:pPr>
            <w:r>
              <w:rPr>
                <w:rFonts w:ascii="Arial" w:eastAsia="Arial" w:hAnsi="Arial" w:cs="Arial"/>
                <w:b/>
                <w:bCs/>
                <w:color w:val="FFFFFF"/>
                <w:sz w:val="13"/>
                <w:szCs w:val="13"/>
              </w:rPr>
              <w:t>Estructura</w:t>
            </w:r>
          </w:p>
        </w:tc>
        <w:tc>
          <w:tcPr>
            <w:tcW w:w="1300"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7E6A0123" w14:textId="77777777" w:rsidR="00540A2D" w:rsidRDefault="00000000">
            <w:pPr>
              <w:jc w:val="center"/>
            </w:pPr>
            <w:r>
              <w:rPr>
                <w:rFonts w:ascii="Arial" w:eastAsia="Arial" w:hAnsi="Arial" w:cs="Arial"/>
                <w:b/>
                <w:bCs/>
                <w:color w:val="FFFFFF"/>
                <w:sz w:val="13"/>
                <w:szCs w:val="13"/>
              </w:rPr>
              <w:t>Ejecuta</w:t>
            </w:r>
          </w:p>
        </w:tc>
        <w:tc>
          <w:tcPr>
            <w:tcW w:w="3338" w:type="dxa"/>
            <w:tcBorders>
              <w:top w:val="none" w:sz="0" w:space="0" w:color="FFFFFF"/>
              <w:left w:val="none" w:sz="0" w:space="0" w:color="FFFFFF"/>
              <w:bottom w:val="none" w:sz="0" w:space="0" w:color="FFFFFF"/>
              <w:right w:val="none" w:sz="0" w:space="0" w:color="FFFFFF"/>
            </w:tcBorders>
            <w:shd w:val="clear" w:color="auto" w:fill="1A4B7A"/>
            <w:tcMar>
              <w:top w:w="80" w:type="dxa"/>
              <w:left w:w="120" w:type="dxa"/>
              <w:bottom w:w="80" w:type="dxa"/>
              <w:right w:w="80" w:type="dxa"/>
            </w:tcMar>
          </w:tcPr>
          <w:p w14:paraId="43BAA429" w14:textId="77777777" w:rsidR="00540A2D" w:rsidRDefault="00000000">
            <w:pPr>
              <w:jc w:val="center"/>
            </w:pPr>
            <w:r>
              <w:rPr>
                <w:rFonts w:ascii="Arial" w:eastAsia="Arial" w:hAnsi="Arial" w:cs="Arial"/>
                <w:b/>
                <w:bCs/>
                <w:color w:val="FFFFFF"/>
                <w:sz w:val="13"/>
                <w:szCs w:val="13"/>
              </w:rPr>
              <w:t>Monitorea</w:t>
            </w:r>
          </w:p>
        </w:tc>
      </w:tr>
      <w:tr w:rsidR="00540A2D" w14:paraId="52AD8A61" w14:textId="77777777">
        <w:tblPrEx>
          <w:tblCellMar>
            <w:top w:w="0" w:type="dxa"/>
            <w:bottom w:w="0" w:type="dxa"/>
          </w:tblCellMar>
        </w:tblPrEx>
        <w:tc>
          <w:tcPr>
            <w:tcW w:w="24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160ED73B" w14:textId="77777777" w:rsidR="00540A2D" w:rsidRDefault="00000000">
            <w:r>
              <w:rPr>
                <w:rFonts w:ascii="Arial" w:eastAsia="Arial" w:hAnsi="Arial" w:cs="Arial"/>
                <w:color w:val="2A3F52"/>
                <w:sz w:val="15"/>
                <w:szCs w:val="15"/>
              </w:rPr>
              <w:t>Bancos (Bancolombia, Davivienda)</w:t>
            </w:r>
          </w:p>
        </w:tc>
        <w:tc>
          <w:tcPr>
            <w:tcW w:w="13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5263BF62" w14:textId="77777777" w:rsidR="00540A2D" w:rsidRDefault="00000000">
            <w:pPr>
              <w:jc w:val="center"/>
            </w:pPr>
            <w:r>
              <w:rPr>
                <w:rFonts w:ascii="Arial" w:eastAsia="Arial" w:hAnsi="Arial" w:cs="Arial"/>
                <w:color w:val="C0392B"/>
                <w:sz w:val="15"/>
                <w:szCs w:val="15"/>
              </w:rPr>
              <w:t>No</w:t>
            </w:r>
          </w:p>
        </w:tc>
        <w:tc>
          <w:tcPr>
            <w:tcW w:w="13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57B20158" w14:textId="77777777" w:rsidR="00540A2D" w:rsidRDefault="00000000">
            <w:pPr>
              <w:jc w:val="center"/>
            </w:pPr>
            <w:r>
              <w:rPr>
                <w:rFonts w:ascii="Arial" w:eastAsia="Arial" w:hAnsi="Arial" w:cs="Arial"/>
                <w:color w:val="C0392B"/>
                <w:sz w:val="15"/>
                <w:szCs w:val="15"/>
              </w:rPr>
              <w:t>No</w:t>
            </w:r>
          </w:p>
        </w:tc>
        <w:tc>
          <w:tcPr>
            <w:tcW w:w="13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62EA78A4" w14:textId="77777777" w:rsidR="00540A2D" w:rsidRDefault="00000000">
            <w:pPr>
              <w:jc w:val="center"/>
            </w:pPr>
            <w:r>
              <w:rPr>
                <w:rFonts w:ascii="Arial" w:eastAsia="Arial" w:hAnsi="Arial" w:cs="Arial"/>
                <w:color w:val="1A6B8A"/>
                <w:sz w:val="15"/>
                <w:szCs w:val="15"/>
              </w:rPr>
              <w:t>Si</w:t>
            </w:r>
          </w:p>
        </w:tc>
        <w:tc>
          <w:tcPr>
            <w:tcW w:w="3338"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58230617" w14:textId="77777777" w:rsidR="00540A2D" w:rsidRDefault="00000000">
            <w:pPr>
              <w:jc w:val="center"/>
            </w:pPr>
            <w:r>
              <w:rPr>
                <w:rFonts w:ascii="Arial" w:eastAsia="Arial" w:hAnsi="Arial" w:cs="Arial"/>
                <w:color w:val="C0392B"/>
                <w:sz w:val="15"/>
                <w:szCs w:val="15"/>
              </w:rPr>
              <w:t>Parcial</w:t>
            </w:r>
          </w:p>
        </w:tc>
      </w:tr>
      <w:tr w:rsidR="00540A2D" w14:paraId="5F88B87D" w14:textId="77777777">
        <w:tblPrEx>
          <w:tblCellMar>
            <w:top w:w="0" w:type="dxa"/>
            <w:bottom w:w="0" w:type="dxa"/>
          </w:tblCellMar>
        </w:tblPrEx>
        <w:tc>
          <w:tcPr>
            <w:tcW w:w="2400"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66A285E6" w14:textId="77777777" w:rsidR="00540A2D" w:rsidRDefault="00000000">
            <w:r>
              <w:rPr>
                <w:rFonts w:ascii="Arial" w:eastAsia="Arial" w:hAnsi="Arial" w:cs="Arial"/>
                <w:color w:val="2A3F52"/>
                <w:sz w:val="15"/>
                <w:szCs w:val="15"/>
              </w:rPr>
              <w:lastRenderedPageBreak/>
              <w:t>Fiduciarias</w:t>
            </w:r>
          </w:p>
        </w:tc>
        <w:tc>
          <w:tcPr>
            <w:tcW w:w="1300"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03F7C085" w14:textId="77777777" w:rsidR="00540A2D" w:rsidRDefault="00000000">
            <w:pPr>
              <w:jc w:val="center"/>
            </w:pPr>
            <w:r>
              <w:rPr>
                <w:rFonts w:ascii="Arial" w:eastAsia="Arial" w:hAnsi="Arial" w:cs="Arial"/>
                <w:color w:val="C0392B"/>
                <w:sz w:val="15"/>
                <w:szCs w:val="15"/>
              </w:rPr>
              <w:t>No</w:t>
            </w:r>
          </w:p>
        </w:tc>
        <w:tc>
          <w:tcPr>
            <w:tcW w:w="1300"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52A15A60" w14:textId="77777777" w:rsidR="00540A2D" w:rsidRDefault="00000000">
            <w:pPr>
              <w:jc w:val="center"/>
            </w:pPr>
            <w:r>
              <w:rPr>
                <w:rFonts w:ascii="Arial" w:eastAsia="Arial" w:hAnsi="Arial" w:cs="Arial"/>
                <w:color w:val="1A6B8A"/>
                <w:sz w:val="15"/>
                <w:szCs w:val="15"/>
              </w:rPr>
              <w:t>Si</w:t>
            </w:r>
          </w:p>
        </w:tc>
        <w:tc>
          <w:tcPr>
            <w:tcW w:w="1300"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1314E739" w14:textId="77777777" w:rsidR="00540A2D" w:rsidRDefault="00000000">
            <w:pPr>
              <w:jc w:val="center"/>
            </w:pPr>
            <w:r>
              <w:rPr>
                <w:rFonts w:ascii="Arial" w:eastAsia="Arial" w:hAnsi="Arial" w:cs="Arial"/>
                <w:color w:val="C0392B"/>
                <w:sz w:val="15"/>
                <w:szCs w:val="15"/>
              </w:rPr>
              <w:t>No</w:t>
            </w:r>
          </w:p>
        </w:tc>
        <w:tc>
          <w:tcPr>
            <w:tcW w:w="3338"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23F74116" w14:textId="77777777" w:rsidR="00540A2D" w:rsidRDefault="00000000">
            <w:pPr>
              <w:jc w:val="center"/>
            </w:pPr>
            <w:r>
              <w:rPr>
                <w:rFonts w:ascii="Arial" w:eastAsia="Arial" w:hAnsi="Arial" w:cs="Arial"/>
                <w:color w:val="C0392B"/>
                <w:sz w:val="15"/>
                <w:szCs w:val="15"/>
              </w:rPr>
              <w:t>Parcial</w:t>
            </w:r>
          </w:p>
        </w:tc>
      </w:tr>
      <w:tr w:rsidR="00540A2D" w14:paraId="39F489BB" w14:textId="77777777">
        <w:tblPrEx>
          <w:tblCellMar>
            <w:top w:w="0" w:type="dxa"/>
            <w:bottom w:w="0" w:type="dxa"/>
          </w:tblCellMar>
        </w:tblPrEx>
        <w:tc>
          <w:tcPr>
            <w:tcW w:w="24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1B1A88E6" w14:textId="77777777" w:rsidR="00540A2D" w:rsidRDefault="00000000">
            <w:r>
              <w:rPr>
                <w:rFonts w:ascii="Arial" w:eastAsia="Arial" w:hAnsi="Arial" w:cs="Arial"/>
                <w:color w:val="2A3F52"/>
                <w:sz w:val="15"/>
                <w:szCs w:val="15"/>
              </w:rPr>
              <w:t>Gestores (Credicorp, SURA)</w:t>
            </w:r>
          </w:p>
        </w:tc>
        <w:tc>
          <w:tcPr>
            <w:tcW w:w="13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6402B233" w14:textId="77777777" w:rsidR="00540A2D" w:rsidRDefault="00000000">
            <w:pPr>
              <w:jc w:val="center"/>
            </w:pPr>
            <w:r>
              <w:rPr>
                <w:rFonts w:ascii="Arial" w:eastAsia="Arial" w:hAnsi="Arial" w:cs="Arial"/>
                <w:color w:val="C0392B"/>
                <w:sz w:val="15"/>
                <w:szCs w:val="15"/>
              </w:rPr>
              <w:t>Parcial</w:t>
            </w:r>
          </w:p>
        </w:tc>
        <w:tc>
          <w:tcPr>
            <w:tcW w:w="13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567B35C7" w14:textId="77777777" w:rsidR="00540A2D" w:rsidRDefault="00000000">
            <w:pPr>
              <w:jc w:val="center"/>
            </w:pPr>
            <w:r>
              <w:rPr>
                <w:rFonts w:ascii="Arial" w:eastAsia="Arial" w:hAnsi="Arial" w:cs="Arial"/>
                <w:color w:val="1A6B8A"/>
                <w:sz w:val="15"/>
                <w:szCs w:val="15"/>
              </w:rPr>
              <w:t>Si</w:t>
            </w:r>
          </w:p>
        </w:tc>
        <w:tc>
          <w:tcPr>
            <w:tcW w:w="1300"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4FCAF8AC" w14:textId="77777777" w:rsidR="00540A2D" w:rsidRDefault="00000000">
            <w:pPr>
              <w:jc w:val="center"/>
            </w:pPr>
            <w:r>
              <w:rPr>
                <w:rFonts w:ascii="Arial" w:eastAsia="Arial" w:hAnsi="Arial" w:cs="Arial"/>
                <w:color w:val="C0392B"/>
                <w:sz w:val="15"/>
                <w:szCs w:val="15"/>
              </w:rPr>
              <w:t>No</w:t>
            </w:r>
          </w:p>
        </w:tc>
        <w:tc>
          <w:tcPr>
            <w:tcW w:w="3338" w:type="dxa"/>
            <w:tcBorders>
              <w:top w:val="none" w:sz="0" w:space="0" w:color="FFFFFF"/>
              <w:left w:val="none" w:sz="0" w:space="0" w:color="FFFFFF"/>
              <w:bottom w:val="single" w:sz="4" w:space="0" w:color="B8D4E8"/>
              <w:right w:val="none" w:sz="0" w:space="0" w:color="FFFFFF"/>
            </w:tcBorders>
            <w:shd w:val="clear" w:color="auto" w:fill="FFFFFF"/>
            <w:tcMar>
              <w:top w:w="80" w:type="dxa"/>
              <w:left w:w="120" w:type="dxa"/>
              <w:bottom w:w="80" w:type="dxa"/>
              <w:right w:w="80" w:type="dxa"/>
            </w:tcMar>
          </w:tcPr>
          <w:p w14:paraId="38B2AF1C" w14:textId="77777777" w:rsidR="00540A2D" w:rsidRDefault="00000000">
            <w:pPr>
              <w:jc w:val="center"/>
            </w:pPr>
            <w:r>
              <w:rPr>
                <w:rFonts w:ascii="Arial" w:eastAsia="Arial" w:hAnsi="Arial" w:cs="Arial"/>
                <w:color w:val="C0392B"/>
                <w:sz w:val="15"/>
                <w:szCs w:val="15"/>
              </w:rPr>
              <w:t>No</w:t>
            </w:r>
          </w:p>
        </w:tc>
      </w:tr>
      <w:tr w:rsidR="00540A2D" w14:paraId="0EBF23E1" w14:textId="77777777">
        <w:tblPrEx>
          <w:tblCellMar>
            <w:top w:w="0" w:type="dxa"/>
            <w:bottom w:w="0" w:type="dxa"/>
          </w:tblCellMar>
        </w:tblPrEx>
        <w:tc>
          <w:tcPr>
            <w:tcW w:w="2400"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7554AC7D" w14:textId="77777777" w:rsidR="00540A2D" w:rsidRDefault="00000000">
            <w:r>
              <w:rPr>
                <w:rFonts w:ascii="Arial" w:eastAsia="Arial" w:hAnsi="Arial" w:cs="Arial"/>
                <w:color w:val="2A3F52"/>
                <w:sz w:val="15"/>
                <w:szCs w:val="15"/>
              </w:rPr>
              <w:t>Capital privado</w:t>
            </w:r>
          </w:p>
        </w:tc>
        <w:tc>
          <w:tcPr>
            <w:tcW w:w="1300"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4C6A2448" w14:textId="77777777" w:rsidR="00540A2D" w:rsidRDefault="00000000">
            <w:pPr>
              <w:jc w:val="center"/>
            </w:pPr>
            <w:r>
              <w:rPr>
                <w:rFonts w:ascii="Arial" w:eastAsia="Arial" w:hAnsi="Arial" w:cs="Arial"/>
                <w:color w:val="C0392B"/>
                <w:sz w:val="15"/>
                <w:szCs w:val="15"/>
              </w:rPr>
              <w:t>No</w:t>
            </w:r>
          </w:p>
        </w:tc>
        <w:tc>
          <w:tcPr>
            <w:tcW w:w="1300"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1EFEB526" w14:textId="77777777" w:rsidR="00540A2D" w:rsidRDefault="00000000">
            <w:pPr>
              <w:jc w:val="center"/>
            </w:pPr>
            <w:r>
              <w:rPr>
                <w:rFonts w:ascii="Arial" w:eastAsia="Arial" w:hAnsi="Arial" w:cs="Arial"/>
                <w:color w:val="C0392B"/>
                <w:sz w:val="15"/>
                <w:szCs w:val="15"/>
              </w:rPr>
              <w:t>No</w:t>
            </w:r>
          </w:p>
        </w:tc>
        <w:tc>
          <w:tcPr>
            <w:tcW w:w="1300"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2C784839" w14:textId="77777777" w:rsidR="00540A2D" w:rsidRDefault="00000000">
            <w:pPr>
              <w:jc w:val="center"/>
            </w:pPr>
            <w:r>
              <w:rPr>
                <w:rFonts w:ascii="Arial" w:eastAsia="Arial" w:hAnsi="Arial" w:cs="Arial"/>
                <w:color w:val="C0392B"/>
                <w:sz w:val="15"/>
                <w:szCs w:val="15"/>
              </w:rPr>
              <w:t>No</w:t>
            </w:r>
          </w:p>
        </w:tc>
        <w:tc>
          <w:tcPr>
            <w:tcW w:w="3338" w:type="dxa"/>
            <w:tcBorders>
              <w:top w:val="none" w:sz="0" w:space="0" w:color="FFFFFF"/>
              <w:left w:val="none" w:sz="0" w:space="0" w:color="FFFFFF"/>
              <w:bottom w:val="single" w:sz="4" w:space="0" w:color="B8D4E8"/>
              <w:right w:val="none" w:sz="0" w:space="0" w:color="FFFFFF"/>
            </w:tcBorders>
            <w:shd w:val="clear" w:color="auto" w:fill="F0F7FC"/>
            <w:tcMar>
              <w:top w:w="80" w:type="dxa"/>
              <w:left w:w="120" w:type="dxa"/>
              <w:bottom w:w="80" w:type="dxa"/>
              <w:right w:w="80" w:type="dxa"/>
            </w:tcMar>
          </w:tcPr>
          <w:p w14:paraId="1D778F3F" w14:textId="77777777" w:rsidR="00540A2D" w:rsidRDefault="00000000">
            <w:pPr>
              <w:jc w:val="center"/>
            </w:pPr>
            <w:r>
              <w:rPr>
                <w:rFonts w:ascii="Arial" w:eastAsia="Arial" w:hAnsi="Arial" w:cs="Arial"/>
                <w:color w:val="C0392B"/>
                <w:sz w:val="15"/>
                <w:szCs w:val="15"/>
              </w:rPr>
              <w:t>No</w:t>
            </w:r>
          </w:p>
        </w:tc>
      </w:tr>
      <w:tr w:rsidR="00540A2D" w14:paraId="69523A1F" w14:textId="77777777">
        <w:tblPrEx>
          <w:tblCellMar>
            <w:top w:w="0" w:type="dxa"/>
            <w:bottom w:w="0" w:type="dxa"/>
          </w:tblCellMar>
        </w:tblPrEx>
        <w:tc>
          <w:tcPr>
            <w:tcW w:w="2400" w:type="dxa"/>
            <w:tcBorders>
              <w:top w:val="none" w:sz="0" w:space="0" w:color="FFFFFF"/>
              <w:left w:val="single" w:sz="14" w:space="0" w:color="1E9CD7"/>
              <w:bottom w:val="single" w:sz="4" w:space="0" w:color="B8D4E8"/>
              <w:right w:val="none" w:sz="0" w:space="0" w:color="FFFFFF"/>
            </w:tcBorders>
            <w:shd w:val="clear" w:color="auto" w:fill="DEE8F8"/>
            <w:tcMar>
              <w:top w:w="80" w:type="dxa"/>
              <w:left w:w="120" w:type="dxa"/>
              <w:bottom w:w="80" w:type="dxa"/>
              <w:right w:w="80" w:type="dxa"/>
            </w:tcMar>
          </w:tcPr>
          <w:p w14:paraId="55D026DC" w14:textId="77777777" w:rsidR="00540A2D" w:rsidRDefault="00000000">
            <w:r>
              <w:rPr>
                <w:rFonts w:ascii="Arial" w:eastAsia="Arial" w:hAnsi="Arial" w:cs="Arial"/>
                <w:b/>
                <w:bCs/>
                <w:color w:val="1A4B7A"/>
                <w:sz w:val="15"/>
                <w:szCs w:val="15"/>
              </w:rPr>
              <w:t>COMFICOL</w:t>
            </w:r>
          </w:p>
        </w:tc>
        <w:tc>
          <w:tcPr>
            <w:tcW w:w="1300" w:type="dxa"/>
            <w:tcBorders>
              <w:top w:val="none" w:sz="0" w:space="0" w:color="FFFFFF"/>
              <w:left w:val="single" w:sz="14" w:space="0" w:color="1E9CD7"/>
              <w:bottom w:val="single" w:sz="4" w:space="0" w:color="B8D4E8"/>
              <w:right w:val="none" w:sz="0" w:space="0" w:color="FFFFFF"/>
            </w:tcBorders>
            <w:shd w:val="clear" w:color="auto" w:fill="DEE8F8"/>
            <w:tcMar>
              <w:top w:w="80" w:type="dxa"/>
              <w:left w:w="120" w:type="dxa"/>
              <w:bottom w:w="80" w:type="dxa"/>
              <w:right w:w="80" w:type="dxa"/>
            </w:tcMar>
          </w:tcPr>
          <w:p w14:paraId="2D6FA1A3" w14:textId="77777777" w:rsidR="00540A2D" w:rsidRDefault="00000000">
            <w:pPr>
              <w:jc w:val="center"/>
            </w:pPr>
            <w:r>
              <w:rPr>
                <w:rFonts w:ascii="Arial" w:eastAsia="Arial" w:hAnsi="Arial" w:cs="Arial"/>
                <w:b/>
                <w:bCs/>
                <w:color w:val="1E9CD7"/>
                <w:sz w:val="15"/>
                <w:szCs w:val="15"/>
              </w:rPr>
              <w:t>Si</w:t>
            </w:r>
          </w:p>
        </w:tc>
        <w:tc>
          <w:tcPr>
            <w:tcW w:w="1300" w:type="dxa"/>
            <w:tcBorders>
              <w:top w:val="none" w:sz="0" w:space="0" w:color="FFFFFF"/>
              <w:left w:val="single" w:sz="14" w:space="0" w:color="1E9CD7"/>
              <w:bottom w:val="single" w:sz="4" w:space="0" w:color="B8D4E8"/>
              <w:right w:val="none" w:sz="0" w:space="0" w:color="FFFFFF"/>
            </w:tcBorders>
            <w:shd w:val="clear" w:color="auto" w:fill="DEE8F8"/>
            <w:tcMar>
              <w:top w:w="80" w:type="dxa"/>
              <w:left w:w="120" w:type="dxa"/>
              <w:bottom w:w="80" w:type="dxa"/>
              <w:right w:w="80" w:type="dxa"/>
            </w:tcMar>
          </w:tcPr>
          <w:p w14:paraId="2E98AA48" w14:textId="77777777" w:rsidR="00540A2D" w:rsidRDefault="00000000">
            <w:pPr>
              <w:jc w:val="center"/>
            </w:pPr>
            <w:r>
              <w:rPr>
                <w:rFonts w:ascii="Arial" w:eastAsia="Arial" w:hAnsi="Arial" w:cs="Arial"/>
                <w:b/>
                <w:bCs/>
                <w:color w:val="1E9CD7"/>
                <w:sz w:val="15"/>
                <w:szCs w:val="15"/>
              </w:rPr>
              <w:t>Si</w:t>
            </w:r>
          </w:p>
        </w:tc>
        <w:tc>
          <w:tcPr>
            <w:tcW w:w="1300" w:type="dxa"/>
            <w:tcBorders>
              <w:top w:val="none" w:sz="0" w:space="0" w:color="FFFFFF"/>
              <w:left w:val="single" w:sz="14" w:space="0" w:color="1E9CD7"/>
              <w:bottom w:val="single" w:sz="4" w:space="0" w:color="B8D4E8"/>
              <w:right w:val="none" w:sz="0" w:space="0" w:color="FFFFFF"/>
            </w:tcBorders>
            <w:shd w:val="clear" w:color="auto" w:fill="DEE8F8"/>
            <w:tcMar>
              <w:top w:w="80" w:type="dxa"/>
              <w:left w:w="120" w:type="dxa"/>
              <w:bottom w:w="80" w:type="dxa"/>
              <w:right w:w="80" w:type="dxa"/>
            </w:tcMar>
          </w:tcPr>
          <w:p w14:paraId="31C94B3F" w14:textId="77777777" w:rsidR="00540A2D" w:rsidRDefault="00000000">
            <w:pPr>
              <w:jc w:val="center"/>
            </w:pPr>
            <w:r>
              <w:rPr>
                <w:rFonts w:ascii="Arial" w:eastAsia="Arial" w:hAnsi="Arial" w:cs="Arial"/>
                <w:b/>
                <w:bCs/>
                <w:color w:val="1E9CD7"/>
                <w:sz w:val="15"/>
                <w:szCs w:val="15"/>
              </w:rPr>
              <w:t>Si</w:t>
            </w:r>
          </w:p>
        </w:tc>
        <w:tc>
          <w:tcPr>
            <w:tcW w:w="3338" w:type="dxa"/>
            <w:tcBorders>
              <w:top w:val="none" w:sz="0" w:space="0" w:color="FFFFFF"/>
              <w:left w:val="single" w:sz="14" w:space="0" w:color="1E9CD7"/>
              <w:bottom w:val="single" w:sz="4" w:space="0" w:color="B8D4E8"/>
              <w:right w:val="none" w:sz="0" w:space="0" w:color="FFFFFF"/>
            </w:tcBorders>
            <w:shd w:val="clear" w:color="auto" w:fill="DEE8F8"/>
            <w:tcMar>
              <w:top w:w="80" w:type="dxa"/>
              <w:left w:w="120" w:type="dxa"/>
              <w:bottom w:w="80" w:type="dxa"/>
              <w:right w:w="80" w:type="dxa"/>
            </w:tcMar>
          </w:tcPr>
          <w:p w14:paraId="1258877B" w14:textId="77777777" w:rsidR="00540A2D" w:rsidRDefault="00000000">
            <w:pPr>
              <w:jc w:val="center"/>
            </w:pPr>
            <w:r>
              <w:rPr>
                <w:rFonts w:ascii="Arial" w:eastAsia="Arial" w:hAnsi="Arial" w:cs="Arial"/>
                <w:b/>
                <w:bCs/>
                <w:color w:val="1E9CD7"/>
                <w:sz w:val="15"/>
                <w:szCs w:val="15"/>
              </w:rPr>
              <w:t>Si</w:t>
            </w:r>
          </w:p>
        </w:tc>
      </w:tr>
    </w:tbl>
    <w:p w14:paraId="128C9932" w14:textId="77777777" w:rsidR="00540A2D" w:rsidRDefault="00540A2D">
      <w:pPr>
        <w:spacing w:after="80"/>
      </w:pPr>
    </w:p>
    <w:p w14:paraId="36DDD627" w14:textId="77777777" w:rsidR="00540A2D" w:rsidRDefault="00000000">
      <w:pPr>
        <w:spacing w:before="40" w:after="60"/>
      </w:pPr>
      <w:proofErr w:type="spellStart"/>
      <w:r>
        <w:rPr>
          <w:rFonts w:ascii="Arial" w:eastAsia="Arial" w:hAnsi="Arial" w:cs="Arial"/>
          <w:color w:val="2A3F52"/>
          <w:sz w:val="17"/>
          <w:szCs w:val="17"/>
        </w:rPr>
        <w:t>Originación</w:t>
      </w:r>
      <w:proofErr w:type="spellEnd"/>
      <w:r>
        <w:rPr>
          <w:rFonts w:ascii="Arial" w:eastAsia="Arial" w:hAnsi="Arial" w:cs="Arial"/>
          <w:color w:val="2A3F52"/>
          <w:sz w:val="17"/>
          <w:szCs w:val="17"/>
        </w:rPr>
        <w:t>: red de constructores, búsqueda activa y referidos con tasa de aprobación del 50%. Seguimiento: acompañamiento activo de cada proyecto durante la ejecución para anticipar desviaciones y proteger el capital mediante control de flujos y disciplina de desembolsos.</w:t>
      </w:r>
    </w:p>
    <w:p w14:paraId="776D587A" w14:textId="77777777" w:rsidR="00540A2D" w:rsidRDefault="00540A2D">
      <w:pPr>
        <w:spacing w:after="160"/>
      </w:pPr>
    </w:p>
    <w:p w14:paraId="38E83702"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09  </w:t>
      </w:r>
      <w:r>
        <w:rPr>
          <w:rFonts w:ascii="Georgia" w:eastAsia="Georgia" w:hAnsi="Georgia" w:cs="Georgia"/>
          <w:b/>
          <w:bCs/>
          <w:color w:val="1A4B7A"/>
          <w:sz w:val="22"/>
          <w:szCs w:val="22"/>
        </w:rPr>
        <w:t>Equipo Gestor</w:t>
      </w:r>
    </w:p>
    <w:p w14:paraId="3F9316C7" w14:textId="77777777" w:rsidR="00540A2D" w:rsidRDefault="00540A2D">
      <w:pPr>
        <w:spacing w:after="40"/>
      </w:pPr>
    </w:p>
    <w:p w14:paraId="08DD9BF9" w14:textId="77777777" w:rsidR="00540A2D" w:rsidRDefault="00000000">
      <w:pPr>
        <w:spacing w:before="40" w:after="60"/>
      </w:pPr>
      <w:r>
        <w:rPr>
          <w:rFonts w:ascii="Arial" w:eastAsia="Arial" w:hAnsi="Arial" w:cs="Arial"/>
          <w:color w:val="2A3F52"/>
          <w:sz w:val="17"/>
          <w:szCs w:val="17"/>
        </w:rPr>
        <w:t>El fondo no compra un activo — compra acceso a un equipo que origina, estructura y cierra operaciones en el segmento VIS/VIP con conocimiento profundo del ciclo constructivo colombiano y de la dinámica comercial de este mercado.</w:t>
      </w:r>
    </w:p>
    <w:p w14:paraId="38B56477"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819"/>
        <w:gridCol w:w="4819"/>
      </w:tblGrid>
      <w:tr w:rsidR="00540A2D" w14:paraId="410C6860" w14:textId="77777777">
        <w:tblPrEx>
          <w:tblCellMar>
            <w:top w:w="0" w:type="dxa"/>
            <w:bottom w:w="0" w:type="dxa"/>
          </w:tblCellMar>
        </w:tblPrEx>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21DC0E3C" w14:textId="77777777" w:rsidR="00540A2D" w:rsidRDefault="00000000">
            <w:pPr>
              <w:spacing w:after="40"/>
            </w:pPr>
            <w:r>
              <w:rPr>
                <w:rFonts w:ascii="Arial" w:eastAsia="Arial" w:hAnsi="Arial" w:cs="Arial"/>
                <w:b/>
                <w:bCs/>
                <w:color w:val="1A4B7A"/>
                <w:sz w:val="15"/>
                <w:szCs w:val="15"/>
              </w:rPr>
              <w:t>[Nombre] — Fundador / Estructuración</w:t>
            </w:r>
          </w:p>
          <w:p w14:paraId="121AE7F2" w14:textId="77777777" w:rsidR="00540A2D" w:rsidRDefault="00000000">
            <w:r>
              <w:rPr>
                <w:rFonts w:ascii="Arial" w:eastAsia="Arial" w:hAnsi="Arial" w:cs="Arial"/>
                <w:color w:val="2A3F52"/>
                <w:sz w:val="15"/>
                <w:szCs w:val="15"/>
              </w:rPr>
              <w:t>Experiencia en estructuración financiera inmobiliaria y en el ciclo VIS/VIP en Colombia. Red de constructores activa en Bogotá, Eje Cafetero y otras regiones clave.</w:t>
            </w:r>
          </w:p>
        </w:tc>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2D40E1B8" w14:textId="77777777" w:rsidR="00540A2D" w:rsidRDefault="00000000">
            <w:pPr>
              <w:spacing w:after="40"/>
            </w:pPr>
            <w:r>
              <w:rPr>
                <w:rFonts w:ascii="Arial" w:eastAsia="Arial" w:hAnsi="Arial" w:cs="Arial"/>
                <w:b/>
                <w:bCs/>
                <w:color w:val="1A4B7A"/>
                <w:sz w:val="15"/>
                <w:szCs w:val="15"/>
              </w:rPr>
              <w:t>[Nombre] — Legal / Riesgos</w:t>
            </w:r>
          </w:p>
          <w:p w14:paraId="2D20092A" w14:textId="77777777" w:rsidR="00540A2D" w:rsidRDefault="00000000">
            <w:r>
              <w:rPr>
                <w:rFonts w:ascii="Arial" w:eastAsia="Arial" w:hAnsi="Arial" w:cs="Arial"/>
                <w:color w:val="2A3F52"/>
                <w:sz w:val="15"/>
                <w:szCs w:val="15"/>
              </w:rPr>
              <w:t>Especialista en fiducias inmobiliarias, cesión de derechos y normativa del sector constructor en Colombia. Acompaña cada operación desde el primer contrato hasta el cierre financiero.</w:t>
            </w:r>
          </w:p>
        </w:tc>
      </w:tr>
    </w:tbl>
    <w:p w14:paraId="140CF5BB" w14:textId="77777777" w:rsidR="00540A2D" w:rsidRDefault="00540A2D">
      <w:pPr>
        <w:spacing w:after="6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540A2D" w14:paraId="210EA16D" w14:textId="77777777">
        <w:tblPrEx>
          <w:tblCellMar>
            <w:top w:w="0" w:type="dxa"/>
            <w:bottom w:w="0" w:type="dxa"/>
          </w:tblCellMar>
        </w:tblPrEx>
        <w:tc>
          <w:tcPr>
            <w:tcW w:w="9638" w:type="dxa"/>
            <w:tcBorders>
              <w:top w:val="none" w:sz="0" w:space="0" w:color="FFFFFF"/>
              <w:left w:val="single" w:sz="14" w:space="0" w:color="1E9CD7"/>
              <w:bottom w:val="none" w:sz="0" w:space="0" w:color="FFFFFF"/>
              <w:right w:val="none" w:sz="0" w:space="0" w:color="FFFFFF"/>
            </w:tcBorders>
            <w:shd w:val="clear" w:color="auto" w:fill="DEE8F8"/>
            <w:tcMar>
              <w:top w:w="80" w:type="dxa"/>
              <w:left w:w="200" w:type="dxa"/>
              <w:bottom w:w="80" w:type="dxa"/>
              <w:right w:w="180" w:type="dxa"/>
            </w:tcMar>
          </w:tcPr>
          <w:p w14:paraId="503BCC04" w14:textId="77777777" w:rsidR="00540A2D" w:rsidRDefault="00000000">
            <w:r>
              <w:rPr>
                <w:rFonts w:ascii="Arial" w:eastAsia="Arial" w:hAnsi="Arial" w:cs="Arial"/>
                <w:b/>
                <w:bCs/>
                <w:color w:val="1E9CD7"/>
                <w:sz w:val="14"/>
                <w:szCs w:val="14"/>
              </w:rPr>
              <w:t xml:space="preserve">Pendiente: </w:t>
            </w:r>
            <w:r>
              <w:rPr>
                <w:rFonts w:ascii="Arial" w:eastAsia="Arial" w:hAnsi="Arial" w:cs="Arial"/>
                <w:i/>
                <w:iCs/>
                <w:color w:val="5A7A9A"/>
                <w:sz w:val="14"/>
                <w:szCs w:val="14"/>
              </w:rPr>
              <w:t>Completar con nombres reales, trayectorias concretas y logros verificables. El equipo es el argumento central del modelo ante cualquier fondo.</w:t>
            </w:r>
          </w:p>
        </w:tc>
      </w:tr>
    </w:tbl>
    <w:p w14:paraId="4953A29F" w14:textId="77777777" w:rsidR="00540A2D" w:rsidRDefault="00540A2D">
      <w:pPr>
        <w:spacing w:after="160"/>
      </w:pPr>
    </w:p>
    <w:p w14:paraId="2892874E" w14:textId="77777777" w:rsidR="00540A2D" w:rsidRDefault="00000000">
      <w:pPr>
        <w:pBdr>
          <w:bottom w:val="single" w:sz="10" w:space="3" w:color="1E9CD7"/>
        </w:pBdr>
        <w:spacing w:before="160" w:after="80"/>
      </w:pPr>
      <w:r>
        <w:rPr>
          <w:rFonts w:ascii="Georgia" w:eastAsia="Georgia" w:hAnsi="Georgia" w:cs="Georgia"/>
          <w:color w:val="1E9CD7"/>
          <w:sz w:val="14"/>
          <w:szCs w:val="14"/>
        </w:rPr>
        <w:t xml:space="preserve">10  </w:t>
      </w:r>
      <w:r>
        <w:rPr>
          <w:rFonts w:ascii="Georgia" w:eastAsia="Georgia" w:hAnsi="Georgia" w:cs="Georgia"/>
          <w:b/>
          <w:bCs/>
          <w:color w:val="1A4B7A"/>
          <w:sz w:val="22"/>
          <w:szCs w:val="22"/>
        </w:rPr>
        <w:t>Próximos Pasos</w:t>
      </w:r>
    </w:p>
    <w:p w14:paraId="185D7123" w14:textId="77777777" w:rsidR="00540A2D" w:rsidRDefault="00540A2D">
      <w:pPr>
        <w:spacing w:after="4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249"/>
        <w:gridCol w:w="3389"/>
      </w:tblGrid>
      <w:tr w:rsidR="00540A2D" w14:paraId="6EFE65AA" w14:textId="77777777">
        <w:tblPrEx>
          <w:tblCellMar>
            <w:top w:w="0" w:type="dxa"/>
            <w:bottom w:w="0" w:type="dxa"/>
          </w:tblCellMar>
        </w:tblPrEx>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53CA0F39" w14:textId="77777777" w:rsidR="00540A2D" w:rsidRDefault="00000000">
            <w:pPr>
              <w:spacing w:after="40"/>
            </w:pPr>
            <w:r>
              <w:rPr>
                <w:rFonts w:ascii="Arial" w:eastAsia="Arial" w:hAnsi="Arial" w:cs="Arial"/>
                <w:b/>
                <w:bCs/>
                <w:color w:val="1A4B7A"/>
                <w:sz w:val="15"/>
                <w:szCs w:val="15"/>
              </w:rPr>
              <w:t>Reunión de presentación</w:t>
            </w:r>
          </w:p>
          <w:p w14:paraId="09B6F0CD" w14:textId="77777777" w:rsidR="00540A2D" w:rsidRDefault="00000000">
            <w:r>
              <w:rPr>
                <w:rFonts w:ascii="Arial" w:eastAsia="Arial" w:hAnsi="Arial" w:cs="Arial"/>
                <w:color w:val="2A3F52"/>
                <w:sz w:val="15"/>
                <w:szCs w:val="15"/>
              </w:rPr>
              <w:t>Sesión de 45–60 minutos para revisar el modelo, los proyectos activos y resolver preguntas del comité de inversión.</w:t>
            </w:r>
          </w:p>
        </w:tc>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4A409BF3" w14:textId="77777777" w:rsidR="00540A2D" w:rsidRDefault="00000000">
            <w:pPr>
              <w:spacing w:after="40"/>
            </w:pPr>
            <w:r>
              <w:rPr>
                <w:rFonts w:ascii="Arial" w:eastAsia="Arial" w:hAnsi="Arial" w:cs="Arial"/>
                <w:b/>
                <w:bCs/>
                <w:color w:val="1A4B7A"/>
                <w:sz w:val="15"/>
                <w:szCs w:val="15"/>
              </w:rPr>
              <w:t xml:space="preserve">Data </w:t>
            </w:r>
            <w:proofErr w:type="spellStart"/>
            <w:r>
              <w:rPr>
                <w:rFonts w:ascii="Arial" w:eastAsia="Arial" w:hAnsi="Arial" w:cs="Arial"/>
                <w:b/>
                <w:bCs/>
                <w:color w:val="1A4B7A"/>
                <w:sz w:val="15"/>
                <w:szCs w:val="15"/>
              </w:rPr>
              <w:t>room</w:t>
            </w:r>
            <w:proofErr w:type="spellEnd"/>
          </w:p>
          <w:p w14:paraId="2BAB8AF3" w14:textId="77777777" w:rsidR="00540A2D" w:rsidRDefault="00000000">
            <w:r>
              <w:rPr>
                <w:rFonts w:ascii="Arial" w:eastAsia="Arial" w:hAnsi="Arial" w:cs="Arial"/>
                <w:color w:val="2A3F52"/>
                <w:sz w:val="15"/>
                <w:szCs w:val="15"/>
              </w:rPr>
              <w:t>Acceso a documentación de los tres proyectos activos: contratos fiduciarios, cesiones de derechos, licencias y estados de avance.</w:t>
            </w:r>
          </w:p>
        </w:tc>
      </w:tr>
      <w:tr w:rsidR="00540A2D" w14:paraId="7DB26515" w14:textId="77777777">
        <w:tblPrEx>
          <w:tblCellMar>
            <w:top w:w="0" w:type="dxa"/>
            <w:bottom w:w="0" w:type="dxa"/>
          </w:tblCellMar>
        </w:tblPrEx>
        <w:trPr>
          <w:gridAfter w:val="1"/>
          <w:wAfter w:w="4819" w:type="dxa"/>
        </w:trPr>
        <w:tc>
          <w:tcPr>
            <w:tcW w:w="9638" w:type="dxa"/>
            <w:tcBorders>
              <w:top w:val="none" w:sz="0" w:space="0" w:color="FFFFFF"/>
              <w:left w:val="none" w:sz="0" w:space="0" w:color="FFFFFF"/>
              <w:bottom w:val="none" w:sz="0" w:space="0" w:color="FFFFFF"/>
              <w:right w:val="none" w:sz="0" w:space="0" w:color="FFFFFF"/>
            </w:tcBorders>
          </w:tcPr>
          <w:p w14:paraId="308F1F59" w14:textId="77777777" w:rsidR="00540A2D" w:rsidRDefault="00540A2D">
            <w:pPr>
              <w:spacing w:after="40"/>
            </w:pPr>
          </w:p>
        </w:tc>
      </w:tr>
      <w:tr w:rsidR="00540A2D" w14:paraId="178C62BD" w14:textId="77777777">
        <w:tblPrEx>
          <w:tblCellMar>
            <w:top w:w="0" w:type="dxa"/>
            <w:bottom w:w="0" w:type="dxa"/>
          </w:tblCellMar>
        </w:tblPrEx>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3FDCC8F8" w14:textId="77777777" w:rsidR="00540A2D" w:rsidRDefault="00000000">
            <w:pPr>
              <w:spacing w:after="40"/>
            </w:pPr>
            <w:r>
              <w:rPr>
                <w:rFonts w:ascii="Arial" w:eastAsia="Arial" w:hAnsi="Arial" w:cs="Arial"/>
                <w:b/>
                <w:bCs/>
                <w:color w:val="1A4B7A"/>
                <w:sz w:val="15"/>
                <w:szCs w:val="15"/>
              </w:rPr>
              <w:t>Propuesta de estructuración</w:t>
            </w:r>
          </w:p>
          <w:p w14:paraId="1416B321" w14:textId="77777777" w:rsidR="00540A2D" w:rsidRDefault="00000000">
            <w:r>
              <w:rPr>
                <w:rFonts w:ascii="Arial" w:eastAsia="Arial" w:hAnsi="Arial" w:cs="Arial"/>
                <w:color w:val="2A3F52"/>
                <w:sz w:val="15"/>
                <w:szCs w:val="15"/>
              </w:rPr>
              <w:t>Definición conjunta del vehículo de entrada: proyecto a proyecto o patrimonio autónomo maestro.</w:t>
            </w:r>
          </w:p>
        </w:tc>
        <w:tc>
          <w:tcPr>
            <w:tcW w:w="4819" w:type="dxa"/>
            <w:tcBorders>
              <w:top w:val="none" w:sz="0" w:space="0" w:color="FFFFFF"/>
              <w:left w:val="single" w:sz="14" w:space="0" w:color="1E9CD7"/>
              <w:bottom w:val="single" w:sz="3" w:space="0" w:color="B8D4E8"/>
              <w:right w:val="none" w:sz="0" w:space="0" w:color="FFFFFF"/>
            </w:tcBorders>
            <w:shd w:val="clear" w:color="auto" w:fill="F0F7FC"/>
            <w:tcMar>
              <w:top w:w="80" w:type="dxa"/>
              <w:left w:w="160" w:type="dxa"/>
              <w:bottom w:w="80" w:type="dxa"/>
              <w:right w:w="140" w:type="dxa"/>
            </w:tcMar>
          </w:tcPr>
          <w:p w14:paraId="45E2B515" w14:textId="77777777" w:rsidR="00540A2D" w:rsidRDefault="00000000">
            <w:pPr>
              <w:spacing w:after="40"/>
            </w:pPr>
            <w:r>
              <w:rPr>
                <w:rFonts w:ascii="Arial" w:eastAsia="Arial" w:hAnsi="Arial" w:cs="Arial"/>
                <w:b/>
                <w:bCs/>
                <w:color w:val="1A4B7A"/>
                <w:sz w:val="15"/>
                <w:szCs w:val="15"/>
              </w:rPr>
              <w:t>Cierre del primer proyecto</w:t>
            </w:r>
          </w:p>
          <w:p w14:paraId="2549B408" w14:textId="77777777" w:rsidR="00540A2D" w:rsidRDefault="00000000">
            <w:r>
              <w:rPr>
                <w:rFonts w:ascii="Arial" w:eastAsia="Arial" w:hAnsi="Arial" w:cs="Arial"/>
                <w:color w:val="2A3F52"/>
                <w:sz w:val="15"/>
                <w:szCs w:val="15"/>
              </w:rPr>
              <w:t>Despliegue inicial en Armenia (proyecto más avanzado con licencia otorgada y fiducia activa).</w:t>
            </w:r>
          </w:p>
        </w:tc>
      </w:tr>
    </w:tbl>
    <w:p w14:paraId="7FB4993D" w14:textId="77777777" w:rsidR="00540A2D" w:rsidRDefault="00540A2D">
      <w:pPr>
        <w:spacing w:after="12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540A2D" w14:paraId="6341A15E" w14:textId="77777777">
        <w:tblPrEx>
          <w:tblCellMar>
            <w:top w:w="0" w:type="dxa"/>
            <w:bottom w:w="0" w:type="dxa"/>
          </w:tblCellMar>
        </w:tblPrEx>
        <w:tc>
          <w:tcPr>
            <w:tcW w:w="9638" w:type="dxa"/>
            <w:tcBorders>
              <w:top w:val="none" w:sz="0" w:space="0" w:color="FFFFFF"/>
              <w:left w:val="none" w:sz="0" w:space="0" w:color="FFFFFF"/>
              <w:bottom w:val="none" w:sz="0" w:space="0" w:color="FFFFFF"/>
              <w:right w:val="none" w:sz="0" w:space="0" w:color="FFFFFF"/>
            </w:tcBorders>
            <w:shd w:val="clear" w:color="auto" w:fill="1A4B7A"/>
            <w:tcMar>
              <w:top w:w="200" w:type="dxa"/>
              <w:left w:w="300" w:type="dxa"/>
              <w:bottom w:w="200" w:type="dxa"/>
              <w:right w:w="300" w:type="dxa"/>
            </w:tcMar>
          </w:tcPr>
          <w:p w14:paraId="4E67BC49" w14:textId="77777777" w:rsidR="00540A2D" w:rsidRDefault="00000000">
            <w:pPr>
              <w:spacing w:after="60"/>
            </w:pPr>
            <w:r>
              <w:rPr>
                <w:rFonts w:ascii="Georgia" w:eastAsia="Georgia" w:hAnsi="Georgia" w:cs="Georgia"/>
                <w:b/>
                <w:bCs/>
                <w:color w:val="FFFFFF"/>
                <w:sz w:val="24"/>
                <w:szCs w:val="24"/>
              </w:rPr>
              <w:t>[Nombre del fundador]</w:t>
            </w:r>
            <w:r>
              <w:rPr>
                <w:rFonts w:ascii="Arial" w:eastAsia="Arial" w:hAnsi="Arial" w:cs="Arial"/>
                <w:color w:val="7AAAC8"/>
                <w:sz w:val="16"/>
                <w:szCs w:val="16"/>
              </w:rPr>
              <w:t xml:space="preserve">   ·   Gestor / COMFICOL</w:t>
            </w:r>
          </w:p>
          <w:p w14:paraId="7CAF118F" w14:textId="77777777" w:rsidR="00540A2D" w:rsidRDefault="00000000">
            <w:r>
              <w:rPr>
                <w:rFonts w:ascii="Arial" w:eastAsia="Arial" w:hAnsi="Arial" w:cs="Arial"/>
                <w:color w:val="7AAAC8"/>
                <w:sz w:val="15"/>
                <w:szCs w:val="15"/>
              </w:rPr>
              <w:t xml:space="preserve">[correo@nexus.com]  ·  +57 XXX </w:t>
            </w:r>
            <w:proofErr w:type="spellStart"/>
            <w:r>
              <w:rPr>
                <w:rFonts w:ascii="Arial" w:eastAsia="Arial" w:hAnsi="Arial" w:cs="Arial"/>
                <w:color w:val="7AAAC8"/>
                <w:sz w:val="15"/>
                <w:szCs w:val="15"/>
              </w:rPr>
              <w:t>XXX</w:t>
            </w:r>
            <w:proofErr w:type="spellEnd"/>
            <w:r>
              <w:rPr>
                <w:rFonts w:ascii="Arial" w:eastAsia="Arial" w:hAnsi="Arial" w:cs="Arial"/>
                <w:color w:val="7AAAC8"/>
                <w:sz w:val="15"/>
                <w:szCs w:val="15"/>
              </w:rPr>
              <w:t xml:space="preserve"> XXXX  ·  linkedin.com/in/[perfil]</w:t>
            </w:r>
          </w:p>
        </w:tc>
      </w:tr>
    </w:tbl>
    <w:p w14:paraId="67D88E41" w14:textId="77777777" w:rsidR="003459FB" w:rsidRDefault="003459FB"/>
    <w:sectPr w:rsidR="003459FB">
      <w:footerReference w:type="default" r:id="rId7"/>
      <w:pgSz w:w="11906" w:h="16838"/>
      <w:pgMar w:top="1134"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956F1" w14:textId="77777777" w:rsidR="003459FB" w:rsidRDefault="003459FB">
      <w:r>
        <w:separator/>
      </w:r>
    </w:p>
  </w:endnote>
  <w:endnote w:type="continuationSeparator" w:id="0">
    <w:p w14:paraId="182C65F7" w14:textId="77777777" w:rsidR="003459FB" w:rsidRDefault="00345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C2772" w14:textId="77777777" w:rsidR="00540A2D" w:rsidRDefault="00000000">
    <w:pPr>
      <w:pBdr>
        <w:top w:val="single" w:sz="4" w:space="2" w:color="B8D4E8"/>
      </w:pBdr>
      <w:tabs>
        <w:tab w:val="right" w:pos="9638"/>
      </w:tabs>
      <w:spacing w:before="60"/>
    </w:pPr>
    <w:r>
      <w:rPr>
        <w:rFonts w:ascii="Arial" w:eastAsia="Arial" w:hAnsi="Arial" w:cs="Arial"/>
        <w:color w:val="5A7A9A"/>
        <w:sz w:val="13"/>
        <w:szCs w:val="13"/>
      </w:rPr>
      <w:t xml:space="preserve">COMFICOL  ·  </w:t>
    </w:r>
    <w:proofErr w:type="spellStart"/>
    <w:r>
      <w:rPr>
        <w:rFonts w:ascii="Arial" w:eastAsia="Arial" w:hAnsi="Arial" w:cs="Arial"/>
        <w:color w:val="5A7A9A"/>
        <w:sz w:val="13"/>
        <w:szCs w:val="13"/>
      </w:rPr>
      <w:t>Teaser</w:t>
    </w:r>
    <w:proofErr w:type="spellEnd"/>
    <w:r>
      <w:rPr>
        <w:rFonts w:ascii="Arial" w:eastAsia="Arial" w:hAnsi="Arial" w:cs="Arial"/>
        <w:color w:val="5A7A9A"/>
        <w:sz w:val="13"/>
        <w:szCs w:val="13"/>
      </w:rPr>
      <w:t xml:space="preserve"> de Inversión 2025  ·  Confidencial</w:t>
    </w:r>
    <w:r>
      <w:rPr>
        <w:rFonts w:ascii="Arial" w:eastAsia="Arial" w:hAnsi="Arial" w:cs="Arial"/>
        <w:color w:val="5A7A9A"/>
        <w:sz w:val="13"/>
        <w:szCs w:val="13"/>
      </w:rPr>
      <w:tab/>
      <w:t xml:space="preserve">Página </w:t>
    </w:r>
    <w:r>
      <w:fldChar w:fldCharType="begin"/>
    </w:r>
    <w:r>
      <w:instrText>PAGE</w:instrText>
    </w:r>
    <w:r>
      <w:fldChar w:fldCharType="separate"/>
    </w:r>
    <w:r w:rsidR="00F23FDD">
      <w:rPr>
        <w:noProof/>
      </w:rPr>
      <w:t>1</w:t>
    </w:r>
    <w:r>
      <w:fldChar w:fldCharType="end"/>
    </w:r>
    <w:r>
      <w:rPr>
        <w:rFonts w:ascii="Arial" w:eastAsia="Arial" w:hAnsi="Arial" w:cs="Arial"/>
        <w:color w:val="5A7A9A"/>
        <w:sz w:val="13"/>
        <w:szCs w:val="13"/>
      </w:rPr>
      <w:t xml:space="preserve"> de </w:t>
    </w:r>
    <w:r>
      <w:fldChar w:fldCharType="begin"/>
    </w:r>
    <w:r>
      <w:instrText>NUMPAGES</w:instrText>
    </w:r>
    <w:r>
      <w:fldChar w:fldCharType="separate"/>
    </w:r>
    <w:r w:rsidR="00F23FDD">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2A3CF" w14:textId="77777777" w:rsidR="003459FB" w:rsidRDefault="003459FB">
      <w:r>
        <w:separator/>
      </w:r>
    </w:p>
  </w:footnote>
  <w:footnote w:type="continuationSeparator" w:id="0">
    <w:p w14:paraId="3285FB55" w14:textId="77777777" w:rsidR="003459FB" w:rsidRDefault="003459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65F51"/>
    <w:multiLevelType w:val="hybridMultilevel"/>
    <w:tmpl w:val="FCF04A16"/>
    <w:lvl w:ilvl="0" w:tplc="7A50E64A">
      <w:start w:val="1"/>
      <w:numFmt w:val="bullet"/>
      <w:lvlText w:val="●"/>
      <w:lvlJc w:val="left"/>
      <w:pPr>
        <w:ind w:left="720" w:hanging="360"/>
      </w:pPr>
    </w:lvl>
    <w:lvl w:ilvl="1" w:tplc="23A82F8E">
      <w:start w:val="1"/>
      <w:numFmt w:val="bullet"/>
      <w:lvlText w:val="○"/>
      <w:lvlJc w:val="left"/>
      <w:pPr>
        <w:ind w:left="1440" w:hanging="360"/>
      </w:pPr>
    </w:lvl>
    <w:lvl w:ilvl="2" w:tplc="D778D9F4">
      <w:start w:val="1"/>
      <w:numFmt w:val="bullet"/>
      <w:lvlText w:val="■"/>
      <w:lvlJc w:val="left"/>
      <w:pPr>
        <w:ind w:left="2160" w:hanging="360"/>
      </w:pPr>
    </w:lvl>
    <w:lvl w:ilvl="3" w:tplc="EBB88EF2">
      <w:start w:val="1"/>
      <w:numFmt w:val="bullet"/>
      <w:lvlText w:val="●"/>
      <w:lvlJc w:val="left"/>
      <w:pPr>
        <w:ind w:left="2880" w:hanging="360"/>
      </w:pPr>
    </w:lvl>
    <w:lvl w:ilvl="4" w:tplc="5F30157E">
      <w:start w:val="1"/>
      <w:numFmt w:val="bullet"/>
      <w:lvlText w:val="○"/>
      <w:lvlJc w:val="left"/>
      <w:pPr>
        <w:ind w:left="3600" w:hanging="360"/>
      </w:pPr>
    </w:lvl>
    <w:lvl w:ilvl="5" w:tplc="C526D426">
      <w:start w:val="1"/>
      <w:numFmt w:val="bullet"/>
      <w:lvlText w:val="■"/>
      <w:lvlJc w:val="left"/>
      <w:pPr>
        <w:ind w:left="4320" w:hanging="360"/>
      </w:pPr>
    </w:lvl>
    <w:lvl w:ilvl="6" w:tplc="60A2B9FA">
      <w:start w:val="1"/>
      <w:numFmt w:val="bullet"/>
      <w:lvlText w:val="●"/>
      <w:lvlJc w:val="left"/>
      <w:pPr>
        <w:ind w:left="5040" w:hanging="360"/>
      </w:pPr>
    </w:lvl>
    <w:lvl w:ilvl="7" w:tplc="625AA6BE">
      <w:start w:val="1"/>
      <w:numFmt w:val="bullet"/>
      <w:lvlText w:val="●"/>
      <w:lvlJc w:val="left"/>
      <w:pPr>
        <w:ind w:left="5760" w:hanging="360"/>
      </w:pPr>
    </w:lvl>
    <w:lvl w:ilvl="8" w:tplc="46303260">
      <w:start w:val="1"/>
      <w:numFmt w:val="bullet"/>
      <w:lvlText w:val="●"/>
      <w:lvlJc w:val="left"/>
      <w:pPr>
        <w:ind w:left="6480" w:hanging="360"/>
      </w:pPr>
    </w:lvl>
  </w:abstractNum>
  <w:num w:numId="1" w16cid:durableId="20723207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0A2D"/>
    <w:rsid w:val="0034035A"/>
    <w:rsid w:val="003459FB"/>
    <w:rsid w:val="00540A2D"/>
    <w:rsid w:val="009325C8"/>
    <w:rsid w:val="00F23FD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50C1B51E"/>
  <w15:docId w15:val="{B786DDA3-7F34-4D42-A51D-0F9E6DD31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O"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style>
  <w:style w:type="character" w:customStyle="1" w:styleId="TextonotapieCar">
    <w:name w:val="Texto nota pie Car"/>
    <w:link w:val="Textonotapie"/>
    <w:uiPriority w:val="99"/>
    <w:semiHidden/>
    <w:unhideWhenUsed/>
    <w:rPr>
      <w:sz w:val="20"/>
      <w:szCs w:val="20"/>
    </w:rPr>
  </w:style>
  <w:style w:type="character" w:styleId="Refdenotaalfinal">
    <w:name w:val="endnote reference"/>
    <w:uiPriority w:val="99"/>
    <w:semiHidden/>
    <w:unhideWhenUsed/>
    <w:rPr>
      <w:vertAlign w:val="superscript"/>
    </w:rPr>
  </w:style>
  <w:style w:type="paragraph" w:styleId="Textonotaalfinal">
    <w:name w:val="endnote text"/>
    <w:link w:val="TextonotaalfinalCar"/>
    <w:uiPriority w:val="99"/>
    <w:semiHidden/>
    <w:unhideWhenUsed/>
  </w:style>
  <w:style w:type="character" w:customStyle="1" w:styleId="TextonotaalfinalCar">
    <w:name w:val="Texto nota al final Car"/>
    <w:link w:val="Textonotaalfinal"/>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1482</Words>
  <Characters>8156</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Manuela Echeverri Mejia</cp:lastModifiedBy>
  <cp:revision>3</cp:revision>
  <dcterms:created xsi:type="dcterms:W3CDTF">2026-04-28T14:30:00Z</dcterms:created>
  <dcterms:modified xsi:type="dcterms:W3CDTF">2026-05-06T16:57:00Z</dcterms:modified>
</cp:coreProperties>
</file>